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7777777" w:rsidR="009A3BD0" w:rsidRPr="00126ECE" w:rsidRDefault="00FD55A1" w:rsidP="00C82218">
      <w:pPr>
        <w:spacing w:after="0" w:line="240" w:lineRule="auto"/>
        <w:jc w:val="center"/>
        <w:rPr>
          <w:rFonts w:ascii="Arial Black" w:hAnsi="Arial Black" w:cs="Arial"/>
          <w:sz w:val="40"/>
          <w:szCs w:val="40"/>
          <w:lang w:val="es-MX"/>
        </w:rPr>
      </w:pPr>
      <w:r w:rsidRPr="00126ECE">
        <w:rPr>
          <w:rFonts w:ascii="Arial Black" w:hAnsi="Arial Black" w:cs="Arial"/>
          <w:sz w:val="40"/>
          <w:szCs w:val="40"/>
          <w:lang w:val="es-MX"/>
        </w:rPr>
        <w:t>[Nombre de la Institución Convocante]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3122B066"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F80D17">
        <w:rPr>
          <w:rFonts w:ascii="Arial Black" w:hAnsi="Arial Black" w:cs="Arial"/>
          <w:b/>
          <w:bCs/>
          <w:sz w:val="56"/>
          <w:szCs w:val="52"/>
        </w:rPr>
        <w:t>SERVICIO DE ENLACE VPN ENTRE DGCIC-MINISTERIO DE HACIENDA - MUNICIPALIDAD</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5288982C"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lastRenderedPageBreak/>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071154EA" w14:textId="77777777" w:rsidR="00FE6FD8" w:rsidRDefault="00FE6FD8" w:rsidP="00604986">
      <w:pPr>
        <w:spacing w:after="0" w:line="240" w:lineRule="auto"/>
        <w:jc w:val="center"/>
        <w:rPr>
          <w:rFonts w:ascii="Arial" w:hAnsi="Arial" w:cs="Arial"/>
          <w:bCs/>
          <w:sz w:val="36"/>
          <w:szCs w:val="36"/>
          <w:lang w:val="es-MX"/>
        </w:rPr>
      </w:pPr>
    </w:p>
    <w:p w14:paraId="3EF35B84" w14:textId="77777777" w:rsidR="00FE6FD8" w:rsidRDefault="00FE6FD8" w:rsidP="00604986">
      <w:pPr>
        <w:spacing w:after="0" w:line="240" w:lineRule="auto"/>
        <w:jc w:val="center"/>
        <w:rPr>
          <w:rFonts w:ascii="Arial" w:hAnsi="Arial" w:cs="Arial"/>
          <w:b/>
          <w:sz w:val="24"/>
        </w:rPr>
      </w:pPr>
    </w:p>
    <w:p w14:paraId="368D53CE" w14:textId="77777777" w:rsidR="00A81FCE" w:rsidRDefault="00A81FCE" w:rsidP="00604986">
      <w:pPr>
        <w:spacing w:after="0" w:line="240" w:lineRule="auto"/>
        <w:jc w:val="center"/>
        <w:rPr>
          <w:rFonts w:ascii="Arial" w:hAnsi="Arial" w:cs="Arial"/>
          <w:b/>
          <w:sz w:val="24"/>
        </w:rPr>
      </w:pPr>
    </w:p>
    <w:p w14:paraId="66D4E7C4" w14:textId="77777777" w:rsidR="00A81FCE" w:rsidRDefault="00A81FCE" w:rsidP="00604986">
      <w:pPr>
        <w:spacing w:after="0" w:line="240" w:lineRule="auto"/>
        <w:jc w:val="center"/>
        <w:rPr>
          <w:rFonts w:ascii="Arial" w:hAnsi="Arial" w:cs="Arial"/>
          <w:b/>
          <w:sz w:val="24"/>
        </w:rPr>
      </w:pPr>
    </w:p>
    <w:p w14:paraId="10CC338E" w14:textId="77777777" w:rsidR="00A81FCE" w:rsidRPr="00126ECE" w:rsidRDefault="00A81FCE" w:rsidP="00604986">
      <w:pPr>
        <w:spacing w:after="0" w:line="240" w:lineRule="auto"/>
        <w:jc w:val="center"/>
        <w:rPr>
          <w:rFonts w:ascii="Arial" w:hAnsi="Arial" w:cs="Arial"/>
          <w:b/>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402013A2"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w:t>
      </w:r>
      <w:r w:rsidR="00FB6913">
        <w:rPr>
          <w:rFonts w:ascii="Arial" w:hAnsi="Arial" w:cs="Arial"/>
          <w:kern w:val="2"/>
          <w:sz w:val="24"/>
        </w:rPr>
        <w:t xml:space="preserve">ción Directa Nº n/a  </w:t>
      </w:r>
      <w:r w:rsidR="00A040A2" w:rsidRPr="00C74B4B">
        <w:rPr>
          <w:rFonts w:ascii="Arial" w:hAnsi="Arial" w:cs="Arial"/>
          <w:kern w:val="2"/>
          <w:sz w:val="24"/>
        </w:rPr>
        <w:t>con ID N°</w:t>
      </w:r>
      <w:r w:rsidR="00FB6913">
        <w:rPr>
          <w:rFonts w:ascii="Arial" w:hAnsi="Arial" w:cs="Arial"/>
          <w:kern w:val="2"/>
          <w:sz w:val="24"/>
        </w:rPr>
        <w:t xml:space="preserve"> </w:t>
      </w:r>
      <w:r w:rsidR="00F80D17">
        <w:rPr>
          <w:rFonts w:ascii="Arial" w:hAnsi="Arial" w:cs="Arial"/>
          <w:kern w:val="2"/>
          <w:sz w:val="24"/>
        </w:rPr>
        <w:t>341.906</w:t>
      </w:r>
      <w:r w:rsidR="00FB6913">
        <w:rPr>
          <w:rFonts w:ascii="Arial" w:hAnsi="Arial" w:cs="Arial"/>
          <w:kern w:val="2"/>
          <w:sz w:val="24"/>
        </w:rPr>
        <w:t xml:space="preserve"> para la adquisición de </w:t>
      </w:r>
      <w:r w:rsidR="00F80D17">
        <w:rPr>
          <w:rFonts w:ascii="Arial" w:hAnsi="Arial" w:cs="Arial"/>
          <w:kern w:val="2"/>
          <w:sz w:val="24"/>
        </w:rPr>
        <w:t>Servicio de Enlace VPN entre DGCIC- Ministerio de Hacienda- Municipalidad de Fernando de la Mora</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7A773E92" w14:textId="77777777" w:rsidR="00FB6913" w:rsidRDefault="00FB6913" w:rsidP="00AA3AA2">
      <w:pPr>
        <w:suppressAutoHyphens/>
        <w:spacing w:after="0" w:line="100" w:lineRule="atLeast"/>
        <w:jc w:val="both"/>
        <w:rPr>
          <w:rFonts w:ascii="Arial" w:hAnsi="Arial" w:cs="Arial"/>
          <w:kern w:val="2"/>
          <w:sz w:val="24"/>
        </w:rPr>
      </w:pPr>
    </w:p>
    <w:p w14:paraId="4BA856C2" w14:textId="0A08427B" w:rsidR="00FB6913" w:rsidRPr="00FB6913" w:rsidRDefault="00FB6913" w:rsidP="00FB6913">
      <w:pPr>
        <w:suppressAutoHyphens/>
        <w:spacing w:after="0" w:line="100" w:lineRule="atLeast"/>
        <w:jc w:val="center"/>
        <w:rPr>
          <w:rFonts w:ascii="Arial" w:hAnsi="Arial" w:cs="Arial"/>
          <w:kern w:val="2"/>
          <w:sz w:val="24"/>
        </w:rPr>
      </w:pPr>
      <w:r w:rsidRPr="00FB6913">
        <w:rPr>
          <w:rFonts w:ascii="Arial" w:hAnsi="Arial" w:cs="Arial"/>
          <w:kern w:val="2"/>
          <w:sz w:val="24"/>
        </w:rPr>
        <w:t>Lic. Eligio Acosta</w:t>
      </w:r>
    </w:p>
    <w:p w14:paraId="141523BA" w14:textId="79EB2D17" w:rsidR="00FB6913" w:rsidRPr="00FB6913" w:rsidRDefault="00FB6913" w:rsidP="00FB6913">
      <w:pPr>
        <w:suppressAutoHyphens/>
        <w:spacing w:after="0" w:line="100" w:lineRule="atLeast"/>
        <w:jc w:val="center"/>
        <w:rPr>
          <w:rFonts w:ascii="Arial" w:hAnsi="Arial" w:cs="Arial"/>
          <w:kern w:val="2"/>
          <w:sz w:val="24"/>
        </w:rPr>
      </w:pPr>
      <w:r w:rsidRPr="00FB6913">
        <w:rPr>
          <w:rFonts w:ascii="Arial" w:hAnsi="Arial" w:cs="Arial"/>
          <w:kern w:val="2"/>
          <w:sz w:val="24"/>
        </w:rPr>
        <w:t>Director de UOC</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38FFE918" w:rsidR="00AA3AA2" w:rsidRDefault="00AA3AA2" w:rsidP="00AA3AA2">
      <w:pPr>
        <w:suppressAutoHyphens/>
        <w:spacing w:after="0" w:line="100" w:lineRule="atLeast"/>
        <w:ind w:left="720"/>
        <w:rPr>
          <w:rFonts w:ascii="Arial" w:hAnsi="Arial" w:cs="Arial"/>
          <w:i/>
          <w:color w:val="FF0000"/>
          <w:kern w:val="2"/>
          <w:sz w:val="24"/>
        </w:rPr>
      </w:pPr>
    </w:p>
    <w:p w14:paraId="4C9E1695" w14:textId="77777777" w:rsidR="00FB6913" w:rsidRDefault="00FB6913" w:rsidP="00AA3AA2">
      <w:pPr>
        <w:suppressAutoHyphens/>
        <w:spacing w:after="0" w:line="100" w:lineRule="atLeast"/>
        <w:ind w:left="720"/>
        <w:rPr>
          <w:rFonts w:ascii="Arial" w:hAnsi="Arial" w:cs="Arial"/>
          <w:i/>
          <w:color w:val="FF0000"/>
          <w:kern w:val="2"/>
          <w:sz w:val="24"/>
        </w:rPr>
      </w:pPr>
    </w:p>
    <w:p w14:paraId="67D53C4D" w14:textId="77777777" w:rsidR="00FB6913" w:rsidRPr="00C74B4B" w:rsidRDefault="00FB6913" w:rsidP="00AA3AA2">
      <w:pPr>
        <w:suppressAutoHyphens/>
        <w:spacing w:after="0" w:line="100" w:lineRule="atLeast"/>
        <w:ind w:left="720"/>
        <w:rPr>
          <w:rFonts w:ascii="Arial" w:hAnsi="Arial" w:cs="Arial"/>
          <w:i/>
          <w:color w:val="FF0000"/>
          <w:kern w:val="2"/>
          <w:sz w:val="24"/>
        </w:rPr>
      </w:pP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2AC4B710" w14:textId="77777777" w:rsidR="00AA4F4E" w:rsidRDefault="00AA4F4E" w:rsidP="00F80D17">
      <w:pPr>
        <w:spacing w:after="0" w:line="240" w:lineRule="auto"/>
        <w:rPr>
          <w:rFonts w:ascii="Arial" w:hAnsi="Arial" w:cs="Arial"/>
          <w:b/>
          <w:sz w:val="44"/>
          <w:szCs w:val="40"/>
          <w:lang w:val="es-ES"/>
        </w:rPr>
      </w:pPr>
    </w:p>
    <w:p w14:paraId="57AFB88D" w14:textId="77777777" w:rsidR="00AA4F4E" w:rsidRPr="00C74B4B" w:rsidRDefault="00AA4F4E"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1378F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1378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F73184C" w14:textId="77777777" w:rsidR="00F119DE" w:rsidRDefault="00F119DE" w:rsidP="00C74B4B">
      <w:pPr>
        <w:spacing w:before="120" w:after="120" w:line="240" w:lineRule="auto"/>
        <w:rPr>
          <w:rFonts w:ascii="Arial" w:hAnsi="Arial" w:cs="Arial"/>
          <w:b/>
          <w:sz w:val="44"/>
          <w:szCs w:val="40"/>
          <w:lang w:val="es-ES"/>
        </w:rPr>
      </w:pPr>
    </w:p>
    <w:p w14:paraId="561D861D" w14:textId="77777777" w:rsidR="00A81FCE" w:rsidRPr="00C74B4B" w:rsidRDefault="00A81FC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F610A7" w:rsidRDefault="00737F48" w:rsidP="00C82218">
      <w:pPr>
        <w:spacing w:after="0" w:line="240" w:lineRule="auto"/>
        <w:jc w:val="both"/>
        <w:rPr>
          <w:rFonts w:ascii="Arial" w:hAnsi="Arial" w:cs="Arial"/>
          <w:i/>
          <w:color w:val="FF0000"/>
          <w:lang w:val="es-ES"/>
        </w:rPr>
      </w:pPr>
    </w:p>
    <w:p w14:paraId="3874F8A3" w14:textId="2D3FA3B8" w:rsidR="002A69F8" w:rsidRPr="00AD2AE5" w:rsidRDefault="002A69F8" w:rsidP="001378F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1378F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1378F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1378FE">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1378FE">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42BD423E" w:rsidR="004E69A3" w:rsidRPr="00604986" w:rsidRDefault="004E69A3" w:rsidP="001378FE">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1F4915">
        <w:rPr>
          <w:rFonts w:ascii="Arial" w:hAnsi="Arial" w:cs="Arial"/>
          <w:i/>
          <w:color w:val="FF0000"/>
        </w:rPr>
        <w:t>n/a</w:t>
      </w:r>
    </w:p>
    <w:p w14:paraId="6EB12D44" w14:textId="310536F0" w:rsidR="007C69E9" w:rsidRPr="00604986" w:rsidRDefault="007C69E9" w:rsidP="001378FE">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Pr="00604986">
        <w:rPr>
          <w:rFonts w:ascii="Arial" w:hAnsi="Arial" w:cs="Arial"/>
          <w:b/>
        </w:rPr>
        <w:t xml:space="preserve"> </w:t>
      </w:r>
      <w:r w:rsidR="00F610A7">
        <w:rPr>
          <w:rFonts w:ascii="Arial" w:hAnsi="Arial" w:cs="Arial"/>
          <w:i/>
          <w:color w:val="FF0000"/>
          <w:sz w:val="24"/>
        </w:rPr>
        <w:t>NO</w:t>
      </w:r>
    </w:p>
    <w:p w14:paraId="68DF935D" w14:textId="70D277FE" w:rsidR="004E69A3" w:rsidRPr="00AD2AE5" w:rsidRDefault="004E69A3"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F610A7">
        <w:rPr>
          <w:rFonts w:ascii="Arial" w:hAnsi="Arial" w:cs="Arial"/>
          <w:i/>
          <w:color w:val="FF0000"/>
        </w:rPr>
        <w:t>N/A</w:t>
      </w:r>
      <w:r w:rsidRPr="00AD2AE5">
        <w:rPr>
          <w:rFonts w:ascii="Arial" w:hAnsi="Arial" w:cs="Arial"/>
          <w:i/>
        </w:rPr>
        <w:t>.</w:t>
      </w:r>
    </w:p>
    <w:p w14:paraId="6425448E" w14:textId="550B7A2C" w:rsidR="004E69A3" w:rsidRPr="00AD2AE5" w:rsidRDefault="004E69A3"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1F4915">
        <w:rPr>
          <w:rFonts w:ascii="Arial" w:hAnsi="Arial" w:cs="Arial"/>
          <w:i/>
          <w:color w:val="FF0000"/>
        </w:rPr>
        <w:t xml:space="preserve"> n/a</w:t>
      </w:r>
    </w:p>
    <w:p w14:paraId="5399E793" w14:textId="23A6B2CA" w:rsidR="009926D2" w:rsidRPr="00AD2AE5" w:rsidRDefault="004E69A3" w:rsidP="001378F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Pr="00AD2AE5">
        <w:rPr>
          <w:rFonts w:ascii="Arial" w:hAnsi="Arial" w:cs="Arial"/>
          <w:i/>
        </w:rPr>
        <w:t xml:space="preserve"> </w:t>
      </w:r>
      <w:r w:rsidR="00F610A7">
        <w:rPr>
          <w:rFonts w:cstheme="minorHAnsi"/>
          <w:sz w:val="20"/>
        </w:rPr>
        <w:t>60(sesenta</w:t>
      </w:r>
      <w:r w:rsidR="00F610A7" w:rsidRPr="004F721E">
        <w:rPr>
          <w:rFonts w:cstheme="minorHAnsi"/>
          <w:sz w:val="20"/>
        </w:rPr>
        <w:t>) día</w:t>
      </w:r>
      <w:r w:rsidR="00F610A7" w:rsidRPr="004F721E">
        <w:rPr>
          <w:rFonts w:cstheme="minorHAnsi"/>
          <w:i/>
          <w:sz w:val="20"/>
        </w:rPr>
        <w:t>s</w:t>
      </w:r>
    </w:p>
    <w:p w14:paraId="18E989DE" w14:textId="77777777" w:rsidR="00C016B0" w:rsidRPr="00AD2AE5" w:rsidRDefault="00C016B0" w:rsidP="001378FE">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3C5230A4" w14:textId="717A4521" w:rsidR="00F610A7" w:rsidRPr="00A81FCE" w:rsidRDefault="00B04FD2" w:rsidP="001378FE">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Default="00257CA8" w:rsidP="001378FE">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7ABAF2DA" w14:textId="77777777" w:rsidR="00A81FCE" w:rsidRDefault="00A81FCE" w:rsidP="00A81FCE">
      <w:pPr>
        <w:widowControl w:val="0"/>
        <w:suppressAutoHyphens/>
        <w:spacing w:before="240" w:after="240" w:line="240" w:lineRule="auto"/>
        <w:ind w:right="51"/>
        <w:jc w:val="both"/>
        <w:rPr>
          <w:rFonts w:ascii="Arial" w:hAnsi="Arial" w:cs="Arial"/>
          <w:kern w:val="2"/>
        </w:rPr>
      </w:pPr>
    </w:p>
    <w:p w14:paraId="71039CBD" w14:textId="77777777" w:rsidR="00A81FCE" w:rsidRPr="00AD2AE5" w:rsidRDefault="00A81FCE" w:rsidP="00A81FCE">
      <w:pPr>
        <w:widowControl w:val="0"/>
        <w:suppressAutoHyphens/>
        <w:spacing w:before="240" w:after="240" w:line="240" w:lineRule="auto"/>
        <w:ind w:right="51"/>
        <w:jc w:val="both"/>
        <w:rPr>
          <w:rFonts w:ascii="Arial" w:hAnsi="Arial" w:cs="Arial"/>
          <w:kern w:val="2"/>
        </w:rPr>
      </w:pPr>
    </w:p>
    <w:p w14:paraId="53B99A3F" w14:textId="5255E38B" w:rsidR="0055294F" w:rsidRPr="00AD2AE5" w:rsidRDefault="0055294F" w:rsidP="001378F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22111EDA" w:rsidR="0018343B" w:rsidRPr="00AD2AE5" w:rsidRDefault="004E69A3" w:rsidP="001378F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w:t>
      </w:r>
      <w:r w:rsidR="0047323E">
        <w:rPr>
          <w:rFonts w:ascii="Arial" w:hAnsi="Arial" w:cs="Arial"/>
        </w:rPr>
        <w:t xml:space="preserve"> 60 (sesenta ) </w:t>
      </w:r>
      <w:proofErr w:type="spellStart"/>
      <w:r w:rsidR="0047323E">
        <w:rPr>
          <w:rFonts w:ascii="Arial" w:hAnsi="Arial" w:cs="Arial"/>
        </w:rPr>
        <w:t>dias</w:t>
      </w:r>
      <w:proofErr w:type="spellEnd"/>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1378F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1378FE">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1378FE">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1378FE">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1378F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1378F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1378F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366C0022" w14:textId="77777777" w:rsidR="00881AC9" w:rsidRDefault="00881AC9">
      <w:pPr>
        <w:rPr>
          <w:rFonts w:ascii="Arial" w:hAnsi="Arial" w:cs="Arial"/>
        </w:rPr>
      </w:pPr>
    </w:p>
    <w:p w14:paraId="684DF975" w14:textId="77777777" w:rsidR="00881AC9" w:rsidRPr="00AD2AE5" w:rsidRDefault="00881AC9">
      <w:pPr>
        <w:rPr>
          <w:rFonts w:ascii="Arial" w:hAnsi="Arial" w:cs="Arial"/>
        </w:rPr>
      </w:pPr>
    </w:p>
    <w:p w14:paraId="4E1307F2" w14:textId="5CCB0C7F" w:rsidR="004A1290" w:rsidRPr="002314F8" w:rsidRDefault="004A1290" w:rsidP="001378FE">
      <w:pPr>
        <w:pStyle w:val="Prrafodelista"/>
        <w:numPr>
          <w:ilvl w:val="0"/>
          <w:numId w:val="6"/>
        </w:numPr>
        <w:ind w:left="426" w:hanging="426"/>
        <w:rPr>
          <w:b/>
          <w:sz w:val="24"/>
          <w:szCs w:val="20"/>
          <w:lang w:val="es-ES_tradnl"/>
        </w:rPr>
      </w:pPr>
      <w:r w:rsidRPr="002314F8">
        <w:rPr>
          <w:b/>
          <w:sz w:val="24"/>
          <w:szCs w:val="20"/>
          <w:lang w:val="es-ES_tradnl"/>
        </w:rPr>
        <w:lastRenderedPageBreak/>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1A0F757B" w14:textId="2728F17D" w:rsidR="004B187B" w:rsidRPr="00AD2AE5" w:rsidRDefault="00962E59" w:rsidP="004D377C">
      <w:pPr>
        <w:pStyle w:val="Prrafodelista"/>
        <w:spacing w:after="0" w:line="240" w:lineRule="auto"/>
        <w:ind w:left="993"/>
        <w:jc w:val="both"/>
        <w:rPr>
          <w:rFonts w:ascii="Arial" w:hAnsi="Arial" w:cs="Arial"/>
          <w:i/>
          <w:color w:val="FF0000"/>
        </w:rPr>
      </w:pPr>
      <w:r>
        <w:rPr>
          <w:rFonts w:ascii="Arial" w:hAnsi="Arial" w:cs="Arial"/>
          <w:i/>
          <w:color w:val="FF0000"/>
        </w:rPr>
        <w:t>N/A</w:t>
      </w: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3E1D7723" w14:textId="76F32136"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0B705129" w14:textId="1FEC8014" w:rsidR="004B187B" w:rsidRPr="00AD2AE5" w:rsidRDefault="00962E59" w:rsidP="004D377C">
      <w:pPr>
        <w:pStyle w:val="Prrafodelista"/>
        <w:spacing w:after="0" w:line="240" w:lineRule="auto"/>
        <w:ind w:left="993"/>
        <w:jc w:val="both"/>
        <w:rPr>
          <w:rFonts w:ascii="Arial" w:hAnsi="Arial" w:cs="Arial"/>
          <w:i/>
          <w:color w:val="FF0000"/>
        </w:rPr>
      </w:pPr>
      <w:r>
        <w:rPr>
          <w:rFonts w:ascii="Arial" w:hAnsi="Arial" w:cs="Arial"/>
          <w:i/>
          <w:color w:val="FF0000"/>
        </w:rPr>
        <w:t>N/A</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14:paraId="6D25C6F5" w14:textId="2D32FE25" w:rsidR="004E69A3" w:rsidRDefault="004E69A3" w:rsidP="004D377C">
      <w:pPr>
        <w:pStyle w:val="Prrafodelista"/>
        <w:spacing w:after="0" w:line="240" w:lineRule="auto"/>
        <w:ind w:left="993"/>
        <w:jc w:val="both"/>
        <w:rPr>
          <w:rFonts w:ascii="Arial" w:hAnsi="Arial" w:cs="Arial"/>
          <w:i/>
          <w:color w:val="FF0000"/>
        </w:rPr>
      </w:pPr>
    </w:p>
    <w:p w14:paraId="46C649B1" w14:textId="51FC84BC" w:rsidR="00962E59" w:rsidRPr="008F3FE2" w:rsidRDefault="00962E59" w:rsidP="00962E59">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 xml:space="preserve">años </w:t>
      </w:r>
      <w:r w:rsidRPr="00DE77B9">
        <w:rPr>
          <w:rFonts w:ascii="Times New Roman" w:hAnsi="Times New Roman" w:cs="Times New Roman"/>
          <w:i/>
          <w:iCs/>
          <w:color w:val="000000"/>
          <w:sz w:val="23"/>
          <w:szCs w:val="23"/>
          <w:lang w:val="es-PA"/>
        </w:rPr>
        <w:t xml:space="preserve"> 201</w:t>
      </w:r>
      <w:r>
        <w:rPr>
          <w:rFonts w:ascii="Times New Roman" w:hAnsi="Times New Roman" w:cs="Times New Roman"/>
          <w:i/>
          <w:iCs/>
          <w:color w:val="000000"/>
          <w:sz w:val="23"/>
          <w:szCs w:val="23"/>
          <w:lang w:val="es-PA"/>
        </w:rPr>
        <w:t>6</w:t>
      </w:r>
      <w:r w:rsidR="00F80D17">
        <w:rPr>
          <w:rFonts w:ascii="Times New Roman" w:hAnsi="Times New Roman" w:cs="Times New Roman"/>
          <w:i/>
          <w:iCs/>
          <w:color w:val="000000"/>
          <w:sz w:val="23"/>
          <w:szCs w:val="23"/>
          <w:lang w:val="es-PA"/>
        </w:rPr>
        <w:t xml:space="preserve"> y 2017</w:t>
      </w:r>
      <w:r w:rsidR="00FE6FD8">
        <w:rPr>
          <w:rFonts w:ascii="Times New Roman" w:hAnsi="Times New Roman" w:cs="Times New Roman"/>
          <w:i/>
          <w:iCs/>
          <w:color w:val="000000"/>
          <w:sz w:val="23"/>
          <w:szCs w:val="23"/>
          <w:lang w:val="es-PA"/>
        </w:rPr>
        <w:t xml:space="preserve"> que de</w:t>
      </w:r>
      <w:r w:rsidR="00F80D17">
        <w:rPr>
          <w:rFonts w:ascii="Times New Roman" w:hAnsi="Times New Roman" w:cs="Times New Roman"/>
          <w:i/>
          <w:iCs/>
          <w:color w:val="000000"/>
          <w:sz w:val="23"/>
          <w:szCs w:val="23"/>
          <w:lang w:val="es-PA"/>
        </w:rPr>
        <w:t xml:space="preserve">muestren </w:t>
      </w:r>
      <w:r w:rsidR="00F80D17">
        <w:rPr>
          <w:spacing w:val="17"/>
          <w:highlight w:val="yellow"/>
        </w:rPr>
        <w:t>PROVISIÓN DE SERVICIOS VP</w:t>
      </w:r>
      <w:r w:rsidR="00F80D17">
        <w:rPr>
          <w:spacing w:val="17"/>
        </w:rPr>
        <w:t xml:space="preserve">N, </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sidR="00F80D17">
        <w:rPr>
          <w:rFonts w:ascii="Times New Roman" w:hAnsi="Times New Roman" w:cs="Times New Roman"/>
          <w:i/>
          <w:iCs/>
          <w:color w:val="000000"/>
          <w:sz w:val="23"/>
          <w:szCs w:val="23"/>
          <w:lang w:val="es-PA"/>
        </w:rPr>
        <w:t>eberá equivaler como mínimo al 5</w:t>
      </w:r>
      <w:r>
        <w:rPr>
          <w:rFonts w:ascii="Times New Roman" w:hAnsi="Times New Roman" w:cs="Times New Roman"/>
          <w:i/>
          <w:iCs/>
          <w:color w:val="000000"/>
          <w:sz w:val="23"/>
          <w:szCs w:val="23"/>
          <w:lang w:val="es-PA"/>
        </w:rPr>
        <w:t>0% (</w:t>
      </w:r>
      <w:r w:rsidR="00F80D17">
        <w:rPr>
          <w:rFonts w:ascii="Times New Roman" w:hAnsi="Times New Roman" w:cs="Times New Roman"/>
          <w:i/>
          <w:iCs/>
          <w:color w:val="000000"/>
          <w:sz w:val="23"/>
          <w:szCs w:val="23"/>
          <w:lang w:val="es-PA"/>
        </w:rPr>
        <w:t>cincuenta</w:t>
      </w:r>
      <w:r>
        <w:rPr>
          <w:rFonts w:ascii="Times New Roman" w:hAnsi="Times New Roman" w:cs="Times New Roman"/>
          <w:i/>
          <w:iCs/>
          <w:color w:val="000000"/>
          <w:sz w:val="23"/>
          <w:szCs w:val="23"/>
          <w:lang w:val="es-PA"/>
        </w:rPr>
        <w:t xml:space="preserve"> </w:t>
      </w:r>
      <w:r w:rsidRPr="00DE77B9">
        <w:rPr>
          <w:rFonts w:ascii="Times New Roman" w:hAnsi="Times New Roman" w:cs="Times New Roman"/>
          <w:i/>
          <w:iCs/>
          <w:color w:val="000000"/>
          <w:sz w:val="23"/>
          <w:szCs w:val="23"/>
          <w:lang w:val="es-PA"/>
        </w:rPr>
        <w:t xml:space="preserve"> por ciento) del valor de la oferta </w:t>
      </w:r>
    </w:p>
    <w:p w14:paraId="65EBAA92" w14:textId="77777777" w:rsidR="001F62A3" w:rsidRPr="00962E59" w:rsidRDefault="001F62A3" w:rsidP="00962E59">
      <w:pPr>
        <w:spacing w:after="0" w:line="240" w:lineRule="auto"/>
        <w:jc w:val="both"/>
        <w:rPr>
          <w:rFonts w:ascii="Arial" w:hAnsi="Arial" w:cs="Arial"/>
          <w:i/>
          <w:lang w:val="es-PA"/>
        </w:rPr>
      </w:pPr>
    </w:p>
    <w:p w14:paraId="45B4663B" w14:textId="296B99B0" w:rsidR="00C5575E" w:rsidRPr="00AD2AE5" w:rsidRDefault="004E69A3" w:rsidP="001378FE">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3FA972AF"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8321B9">
        <w:rPr>
          <w:rFonts w:ascii="Arial" w:hAnsi="Arial" w:cs="Arial"/>
        </w:rPr>
        <w:t xml:space="preserve">u presentación un plazo de </w:t>
      </w:r>
      <w:r w:rsidR="008321B9" w:rsidRPr="008321B9">
        <w:rPr>
          <w:rFonts w:ascii="Arial" w:hAnsi="Arial" w:cs="Arial"/>
          <w:b/>
        </w:rPr>
        <w:t>24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Default="00C5575E" w:rsidP="00C5575E">
      <w:pPr>
        <w:pStyle w:val="Prrafodelista"/>
        <w:spacing w:before="240" w:after="240" w:line="240" w:lineRule="auto"/>
        <w:jc w:val="both"/>
        <w:rPr>
          <w:rFonts w:ascii="Arial" w:hAnsi="Arial" w:cs="Arial"/>
        </w:rPr>
      </w:pPr>
    </w:p>
    <w:p w14:paraId="15DC5814" w14:textId="77777777" w:rsidR="00D972E5" w:rsidRDefault="00D972E5" w:rsidP="00C5575E">
      <w:pPr>
        <w:pStyle w:val="Prrafodelista"/>
        <w:spacing w:before="240" w:after="240" w:line="240" w:lineRule="auto"/>
        <w:jc w:val="both"/>
        <w:rPr>
          <w:rFonts w:ascii="Arial" w:hAnsi="Arial" w:cs="Arial"/>
        </w:rPr>
      </w:pPr>
    </w:p>
    <w:p w14:paraId="412BB5AE" w14:textId="77777777" w:rsidR="00D972E5" w:rsidRDefault="00D972E5" w:rsidP="00C5575E">
      <w:pPr>
        <w:pStyle w:val="Prrafodelista"/>
        <w:spacing w:before="240" w:after="240" w:line="240" w:lineRule="auto"/>
        <w:jc w:val="both"/>
        <w:rPr>
          <w:rFonts w:ascii="Arial" w:hAnsi="Arial" w:cs="Arial"/>
        </w:rPr>
      </w:pPr>
    </w:p>
    <w:p w14:paraId="44E5B9D0" w14:textId="77777777" w:rsidR="00D972E5" w:rsidRDefault="00D972E5" w:rsidP="00C5575E">
      <w:pPr>
        <w:pStyle w:val="Prrafodelista"/>
        <w:spacing w:before="240" w:after="240" w:line="240" w:lineRule="auto"/>
        <w:jc w:val="both"/>
        <w:rPr>
          <w:rFonts w:ascii="Arial" w:hAnsi="Arial" w:cs="Arial"/>
        </w:rPr>
      </w:pPr>
    </w:p>
    <w:p w14:paraId="3C164617" w14:textId="77777777" w:rsidR="00D972E5" w:rsidRDefault="00D972E5" w:rsidP="00C5575E">
      <w:pPr>
        <w:pStyle w:val="Prrafodelista"/>
        <w:spacing w:before="240" w:after="240" w:line="240" w:lineRule="auto"/>
        <w:jc w:val="both"/>
        <w:rPr>
          <w:rFonts w:ascii="Arial" w:hAnsi="Arial" w:cs="Arial"/>
        </w:rPr>
      </w:pPr>
    </w:p>
    <w:p w14:paraId="3D8BBEEA" w14:textId="77777777" w:rsidR="00D972E5" w:rsidRDefault="00D972E5" w:rsidP="00C5575E">
      <w:pPr>
        <w:pStyle w:val="Prrafodelista"/>
        <w:spacing w:before="240" w:after="240" w:line="240" w:lineRule="auto"/>
        <w:jc w:val="both"/>
        <w:rPr>
          <w:rFonts w:ascii="Arial" w:hAnsi="Arial" w:cs="Arial"/>
        </w:rPr>
      </w:pPr>
    </w:p>
    <w:p w14:paraId="5F7CF51D" w14:textId="77777777" w:rsidR="00F80D17" w:rsidRDefault="00F80D17" w:rsidP="00C5575E">
      <w:pPr>
        <w:pStyle w:val="Prrafodelista"/>
        <w:spacing w:before="240" w:after="240" w:line="240" w:lineRule="auto"/>
        <w:jc w:val="both"/>
        <w:rPr>
          <w:rFonts w:ascii="Arial" w:hAnsi="Arial" w:cs="Arial"/>
        </w:rPr>
      </w:pPr>
    </w:p>
    <w:p w14:paraId="57D44B0D" w14:textId="77777777" w:rsidR="00F80D17" w:rsidRDefault="00F80D17" w:rsidP="00C5575E">
      <w:pPr>
        <w:pStyle w:val="Prrafodelista"/>
        <w:spacing w:before="240" w:after="240" w:line="240" w:lineRule="auto"/>
        <w:jc w:val="both"/>
        <w:rPr>
          <w:rFonts w:ascii="Arial" w:hAnsi="Arial" w:cs="Arial"/>
        </w:rPr>
      </w:pPr>
    </w:p>
    <w:p w14:paraId="3527F9B0" w14:textId="77777777" w:rsidR="00D972E5" w:rsidRPr="00AD2AE5" w:rsidRDefault="00D972E5" w:rsidP="00C5575E">
      <w:pPr>
        <w:pStyle w:val="Prrafodelista"/>
        <w:spacing w:before="240" w:after="240" w:line="240" w:lineRule="auto"/>
        <w:jc w:val="both"/>
        <w:rPr>
          <w:rFonts w:ascii="Arial" w:hAnsi="Arial" w:cs="Arial"/>
        </w:rPr>
      </w:pPr>
    </w:p>
    <w:p w14:paraId="3F28DC60" w14:textId="6DBA4F54" w:rsidR="004E69A3" w:rsidRPr="00AD2AE5" w:rsidRDefault="004E69A3" w:rsidP="001378FE">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w:t>
      </w:r>
      <w:r w:rsidR="00D972E5">
        <w:rPr>
          <w:rFonts w:ascii="Arial" w:hAnsi="Arial" w:cs="Arial"/>
        </w:rPr>
        <w:t>y calificación de las muestras: N/A</w:t>
      </w:r>
    </w:p>
    <w:p w14:paraId="3EBD96B7" w14:textId="50DE4093" w:rsidR="00B00B28" w:rsidRPr="00AD2AE5" w:rsidRDefault="004E69A3" w:rsidP="001378FE">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4CFEBAA"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r w:rsidR="00881AC9">
        <w:rPr>
          <w:rFonts w:ascii="Arial" w:hAnsi="Arial" w:cs="Arial"/>
          <w:szCs w:val="20"/>
        </w:rPr>
        <w:t>N/A</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5398650" w14:textId="4504C58A" w:rsidR="00197E67" w:rsidRPr="00197E67" w:rsidRDefault="00197E67" w:rsidP="001378FE">
      <w:pPr>
        <w:pStyle w:val="Prrafodelista"/>
        <w:numPr>
          <w:ilvl w:val="0"/>
          <w:numId w:val="5"/>
        </w:numPr>
        <w:spacing w:before="240" w:after="240" w:line="240" w:lineRule="auto"/>
        <w:ind w:left="284" w:hanging="284"/>
        <w:contextualSpacing w:val="0"/>
        <w:jc w:val="both"/>
        <w:rPr>
          <w:rFonts w:ascii="Arial" w:hAnsi="Arial" w:cs="Arial"/>
        </w:rPr>
      </w:pPr>
      <w:r>
        <w:rPr>
          <w:rFonts w:ascii="Arial" w:hAnsi="Arial" w:cs="Arial"/>
        </w:rPr>
        <w:t xml:space="preserve">Notificación de Adjudicación: </w:t>
      </w:r>
      <w:r w:rsidRPr="00197E67">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p>
    <w:p w14:paraId="54C8A1F4" w14:textId="0F8D02D5" w:rsidR="003C0B8F" w:rsidRPr="00AD2AE5" w:rsidRDefault="003C0B8F" w:rsidP="001378FE">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197E67">
        <w:rPr>
          <w:rFonts w:ascii="Arial" w:hAnsi="Arial" w:cs="Arial"/>
          <w:i/>
          <w:color w:val="FF0000"/>
        </w:rPr>
        <w:t>contrato</w:t>
      </w:r>
    </w:p>
    <w:p w14:paraId="2FF9E6CE" w14:textId="1C06E562" w:rsidR="003C0B8F" w:rsidRDefault="003C0B8F" w:rsidP="001378FE">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p>
    <w:p w14:paraId="2FB26EF6" w14:textId="77777777" w:rsidR="00197E67" w:rsidRDefault="00197E67" w:rsidP="00197E67">
      <w:pPr>
        <w:tabs>
          <w:tab w:val="left" w:pos="851"/>
        </w:tabs>
        <w:spacing w:before="240" w:after="240" w:line="240" w:lineRule="auto"/>
        <w:jc w:val="both"/>
        <w:rPr>
          <w:rFonts w:ascii="Arial" w:hAnsi="Arial" w:cs="Arial"/>
          <w:i/>
          <w:color w:val="FF0000"/>
        </w:rPr>
      </w:pPr>
    </w:p>
    <w:p w14:paraId="6AD823C8"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00E190B1" w14:textId="77777777" w:rsidR="00197E67" w:rsidRPr="001761A2" w:rsidRDefault="00197E67" w:rsidP="00197E67">
      <w:pPr>
        <w:tabs>
          <w:tab w:val="left" w:pos="2535"/>
        </w:tabs>
        <w:spacing w:before="240" w:after="240" w:line="240" w:lineRule="auto"/>
        <w:jc w:val="both"/>
        <w:rPr>
          <w:rFonts w:ascii="Arial" w:hAnsi="Arial" w:cs="Arial"/>
          <w:i/>
          <w:sz w:val="20"/>
        </w:rPr>
      </w:pPr>
      <w:r>
        <w:rPr>
          <w:rFonts w:ascii="Arial" w:hAnsi="Arial" w:cs="Arial"/>
          <w:i/>
          <w:sz w:val="20"/>
        </w:rPr>
        <w:tab/>
      </w:r>
    </w:p>
    <w:p w14:paraId="68789277"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7497D9F6"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0091ABE8"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IPC0 </w:t>
      </w:r>
    </w:p>
    <w:p w14:paraId="6F7C885E"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lastRenderedPageBreak/>
        <w:t xml:space="preserve">DONDE: </w:t>
      </w:r>
    </w:p>
    <w:p w14:paraId="17887AFC"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69E2C5B9"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3BC8428B"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0CAD9D66"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7B7C0FCB"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6176D25C"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2670F7C1"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56DD62E8" w14:textId="77777777" w:rsidR="00197E67" w:rsidRPr="001761A2" w:rsidRDefault="00197E67" w:rsidP="00197E67">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0628362D" w14:textId="77777777" w:rsidR="00197E67" w:rsidRPr="001761A2" w:rsidRDefault="00197E67" w:rsidP="00197E67">
      <w:pPr>
        <w:spacing w:before="240" w:after="240" w:line="240" w:lineRule="auto"/>
        <w:jc w:val="both"/>
        <w:rPr>
          <w:rFonts w:ascii="Arial" w:hAnsi="Arial" w:cs="Arial"/>
          <w:i/>
          <w:sz w:val="20"/>
        </w:rPr>
      </w:pPr>
      <w:r w:rsidRPr="001761A2">
        <w:rPr>
          <w:rFonts w:ascii="Arial" w:hAnsi="Arial" w:cs="Arial"/>
          <w:i/>
          <w:sz w:val="20"/>
        </w:rPr>
        <w:t>Apertura de Oferta</w:t>
      </w:r>
    </w:p>
    <w:p w14:paraId="4FB3124C" w14:textId="77777777" w:rsidR="00197E67" w:rsidRPr="00A76134" w:rsidRDefault="00197E67" w:rsidP="00197E67">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7A617DAD" w14:textId="77777777" w:rsidR="00197E67" w:rsidRPr="00197E67" w:rsidRDefault="00197E67" w:rsidP="00197E67">
      <w:pPr>
        <w:tabs>
          <w:tab w:val="left" w:pos="851"/>
        </w:tabs>
        <w:spacing w:before="240" w:after="240" w:line="240" w:lineRule="auto"/>
        <w:jc w:val="both"/>
        <w:rPr>
          <w:rFonts w:ascii="Arial" w:hAnsi="Arial" w:cs="Arial"/>
          <w:i/>
          <w:color w:val="FF0000"/>
        </w:rPr>
      </w:pPr>
    </w:p>
    <w:p w14:paraId="40D5DF47" w14:textId="5574AA99" w:rsidR="00A13093" w:rsidRPr="00A13093" w:rsidRDefault="00A13093" w:rsidP="001378FE">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w:t>
      </w:r>
      <w:r w:rsidR="00197E67">
        <w:rPr>
          <w:rFonts w:ascii="Arial" w:hAnsi="Arial" w:cs="Arial"/>
          <w:spacing w:val="-3"/>
          <w:lang w:val="es-ES_tradnl"/>
        </w:rPr>
        <w:t>no la subcontratación: NO</w:t>
      </w:r>
    </w:p>
    <w:p w14:paraId="53E4C442" w14:textId="59A73229" w:rsidR="00197E67" w:rsidRPr="00197E67" w:rsidRDefault="003C0B8F" w:rsidP="001378F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1F4915">
        <w:rPr>
          <w:rFonts w:ascii="Arial" w:hAnsi="Arial" w:cs="Arial"/>
          <w:color w:val="000000"/>
          <w:sz w:val="20"/>
          <w:szCs w:val="20"/>
        </w:rPr>
        <w:t>El pago será realizado en forma mensual,</w:t>
      </w:r>
      <w:r w:rsidR="00197E67" w:rsidRPr="00197E67">
        <w:rPr>
          <w:rFonts w:ascii="Arial" w:hAnsi="Arial" w:cs="Arial"/>
          <w:color w:val="000000"/>
          <w:sz w:val="20"/>
          <w:szCs w:val="20"/>
        </w:rPr>
        <w:t xml:space="preserve">  dentro de los   ocho días con la presentación de la factura correspondiente, nota de remisión, certificado de cumplimiento tributario vigente, copia de última declaración de  </w:t>
      </w:r>
      <w:proofErr w:type="spellStart"/>
      <w:r w:rsidR="00197E67" w:rsidRPr="00197E67">
        <w:rPr>
          <w:rFonts w:ascii="Arial" w:hAnsi="Arial" w:cs="Arial"/>
          <w:color w:val="000000"/>
          <w:sz w:val="20"/>
          <w:szCs w:val="20"/>
        </w:rPr>
        <w:t>de</w:t>
      </w:r>
      <w:proofErr w:type="spellEnd"/>
      <w:r w:rsidR="00197E67" w:rsidRPr="00197E67">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2ED053A0" w:rsidR="003C0B8F" w:rsidRDefault="003815D1"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197E67">
        <w:rPr>
          <w:rFonts w:ascii="Arial" w:hAnsi="Arial" w:cs="Arial"/>
          <w:b/>
        </w:rPr>
        <w:t>0,01</w:t>
      </w:r>
      <w:r w:rsidR="00197E67" w:rsidRPr="00C74B4B">
        <w:rPr>
          <w:rFonts w:ascii="Arial" w:hAnsi="Arial" w:cs="Arial"/>
          <w:i/>
          <w:color w:val="FF0000"/>
        </w:rPr>
        <w:t> </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7C76F720" w14:textId="77777777" w:rsidR="00197E67" w:rsidRPr="00197E67" w:rsidRDefault="00197E67" w:rsidP="00197E67">
      <w:pPr>
        <w:spacing w:before="240" w:after="240" w:line="240" w:lineRule="auto"/>
        <w:jc w:val="both"/>
        <w:rPr>
          <w:rFonts w:ascii="Arial" w:hAnsi="Arial" w:cs="Arial"/>
        </w:rPr>
      </w:pPr>
    </w:p>
    <w:p w14:paraId="5A80919B" w14:textId="2809F9B8" w:rsidR="003C0B8F" w:rsidRPr="00AD2AE5" w:rsidRDefault="003C0B8F" w:rsidP="001378FE">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197E67">
        <w:rPr>
          <w:rFonts w:ascii="Arial" w:hAnsi="Arial" w:cs="Arial"/>
        </w:rPr>
        <w:t>NO</w:t>
      </w:r>
    </w:p>
    <w:p w14:paraId="115EDEF9" w14:textId="2FA462E7" w:rsidR="003C0B8F" w:rsidRPr="00197E67" w:rsidRDefault="003C0B8F"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197E67" w:rsidRPr="00197E67">
        <w:rPr>
          <w:rFonts w:ascii="Arial" w:hAnsi="Arial" w:cs="Arial"/>
          <w:i/>
        </w:rPr>
        <w:t xml:space="preserve">5% </w:t>
      </w:r>
      <w:r w:rsidR="00E71A81">
        <w:rPr>
          <w:rFonts w:ascii="Arial" w:hAnsi="Arial" w:cs="Arial"/>
          <w:i/>
        </w:rPr>
        <w:t>del valor total del contrato</w:t>
      </w:r>
    </w:p>
    <w:p w14:paraId="7F9CAD00" w14:textId="5AEA84A0" w:rsidR="00AB1679" w:rsidRPr="00AD2AE5" w:rsidRDefault="00545A02" w:rsidP="001378F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197E67">
        <w:rPr>
          <w:rFonts w:ascii="Arial" w:hAnsi="Arial" w:cs="Arial"/>
          <w:i/>
          <w:color w:val="FF0000"/>
        </w:rPr>
        <w:t xml:space="preserve">SI </w:t>
      </w:r>
    </w:p>
    <w:p w14:paraId="4AEE20F7" w14:textId="46429F52" w:rsidR="00844ED7" w:rsidRPr="00844ED7" w:rsidRDefault="00545A02" w:rsidP="001378FE">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844ED7" w:rsidRPr="00844ED7">
        <w:rPr>
          <w:rFonts w:cs="Arial"/>
          <w:sz w:val="20"/>
          <w:szCs w:val="20"/>
        </w:rPr>
        <w:t>a más tardar 28 (Veintiocho) días posteriores contados a partir de la fecha de la Recepción Definitiva de los bienes</w:t>
      </w:r>
    </w:p>
    <w:p w14:paraId="263C4BE4" w14:textId="77777777" w:rsidR="00844ED7" w:rsidRPr="008F3FE2" w:rsidRDefault="00844ED7" w:rsidP="008F3FE2">
      <w:pPr>
        <w:spacing w:before="240" w:after="240" w:line="240" w:lineRule="auto"/>
        <w:jc w:val="both"/>
        <w:rPr>
          <w:rFonts w:ascii="Arial" w:hAnsi="Arial" w:cs="Arial"/>
          <w:i/>
          <w:color w:val="FF0000"/>
          <w:szCs w:val="20"/>
        </w:rPr>
      </w:pPr>
    </w:p>
    <w:p w14:paraId="66DFE86B" w14:textId="246B3546" w:rsidR="001E29FA" w:rsidRPr="00AD2AE5" w:rsidRDefault="00545A02" w:rsidP="001378FE">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Default="00020A9F" w:rsidP="00604986">
      <w:pPr>
        <w:pStyle w:val="Prrafodelista"/>
        <w:tabs>
          <w:tab w:val="left" w:leader="hyphen" w:pos="9180"/>
        </w:tabs>
        <w:spacing w:line="240" w:lineRule="auto"/>
        <w:ind w:left="284" w:firstLine="283"/>
        <w:jc w:val="both"/>
        <w:rPr>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158CB9FB" w14:textId="77777777" w:rsidR="008F3FE2" w:rsidRDefault="008F3FE2" w:rsidP="00604986">
      <w:pPr>
        <w:pStyle w:val="Prrafodelista"/>
        <w:tabs>
          <w:tab w:val="left" w:leader="hyphen" w:pos="9180"/>
        </w:tabs>
        <w:spacing w:line="240" w:lineRule="auto"/>
        <w:ind w:left="284" w:firstLine="283"/>
        <w:jc w:val="both"/>
        <w:rPr>
          <w:szCs w:val="20"/>
        </w:rPr>
      </w:pPr>
    </w:p>
    <w:p w14:paraId="52C793BF" w14:textId="77777777" w:rsidR="008F3FE2" w:rsidRDefault="008F3FE2" w:rsidP="00604986">
      <w:pPr>
        <w:pStyle w:val="Prrafodelista"/>
        <w:tabs>
          <w:tab w:val="left" w:leader="hyphen" w:pos="9180"/>
        </w:tabs>
        <w:spacing w:line="240" w:lineRule="auto"/>
        <w:ind w:left="284" w:firstLine="283"/>
        <w:jc w:val="both"/>
        <w:rPr>
          <w:szCs w:val="20"/>
        </w:rPr>
      </w:pPr>
    </w:p>
    <w:p w14:paraId="4D7BDDC1" w14:textId="77777777" w:rsidR="008F3FE2" w:rsidRDefault="008F3FE2" w:rsidP="00604986">
      <w:pPr>
        <w:pStyle w:val="Prrafodelista"/>
        <w:tabs>
          <w:tab w:val="left" w:leader="hyphen" w:pos="9180"/>
        </w:tabs>
        <w:spacing w:line="240" w:lineRule="auto"/>
        <w:ind w:left="284" w:firstLine="283"/>
        <w:jc w:val="both"/>
        <w:rPr>
          <w:szCs w:val="20"/>
        </w:rPr>
      </w:pPr>
    </w:p>
    <w:p w14:paraId="23F70703" w14:textId="77777777" w:rsidR="008F3FE2" w:rsidRPr="00AD2AE5" w:rsidRDefault="008F3FE2" w:rsidP="00604986">
      <w:pPr>
        <w:pStyle w:val="Prrafodelista"/>
        <w:tabs>
          <w:tab w:val="left" w:leader="hyphen" w:pos="9180"/>
        </w:tabs>
        <w:spacing w:line="240" w:lineRule="auto"/>
        <w:ind w:left="284" w:firstLine="283"/>
        <w:jc w:val="both"/>
        <w:rPr>
          <w:rFonts w:ascii="Arial" w:hAnsi="Arial" w:cs="Arial"/>
          <w:szCs w:val="20"/>
        </w:rPr>
      </w:pP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1295A263" w14:textId="2FB47C7C" w:rsidR="001E204D" w:rsidRPr="001E204D" w:rsidRDefault="003C0B8F" w:rsidP="001378F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844ED7">
        <w:rPr>
          <w:rFonts w:ascii="Arial" w:hAnsi="Arial" w:cs="Arial"/>
        </w:rPr>
        <w:t xml:space="preserve"> </w:t>
      </w:r>
      <w:r w:rsidR="00A9024C">
        <w:rPr>
          <w:rFonts w:ascii="Arial" w:hAnsi="Arial" w:cs="Arial"/>
        </w:rPr>
        <w:t>ES LA MUNICIPALIDAD DE FERNANDO DE L</w:t>
      </w:r>
      <w:r w:rsidR="00E71A81">
        <w:rPr>
          <w:rFonts w:ascii="Arial" w:hAnsi="Arial" w:cs="Arial"/>
        </w:rPr>
        <w:t xml:space="preserve">A MORA, </w:t>
      </w:r>
      <w:r w:rsidR="00060283">
        <w:rPr>
          <w:rFonts w:ascii="Arial" w:hAnsi="Arial" w:cs="Arial"/>
        </w:rPr>
        <w:t xml:space="preserve">DIRECCION DE </w:t>
      </w:r>
      <w:r w:rsidR="00F80D17">
        <w:rPr>
          <w:rFonts w:ascii="Arial" w:hAnsi="Arial" w:cs="Arial"/>
        </w:rPr>
        <w:t>INFORMATICA</w:t>
      </w:r>
      <w:r w:rsidR="00A9024C">
        <w:rPr>
          <w:rFonts w:ascii="Arial" w:hAnsi="Arial" w:cs="Arial"/>
        </w:rPr>
        <w:t xml:space="preserve"> DESDE LAS 07:00 HS. A 13:30 DE LUNES A VIERNES</w:t>
      </w:r>
    </w:p>
    <w:p w14:paraId="6BB598EE" w14:textId="5E3FA475" w:rsidR="00B978BA" w:rsidRPr="00AD2AE5" w:rsidRDefault="00844ED7" w:rsidP="001378FE">
      <w:pPr>
        <w:pStyle w:val="Prrafodelista"/>
        <w:numPr>
          <w:ilvl w:val="0"/>
          <w:numId w:val="5"/>
        </w:numPr>
        <w:spacing w:before="240" w:after="240" w:line="240" w:lineRule="auto"/>
        <w:ind w:left="284" w:hanging="284"/>
        <w:contextualSpacing w:val="0"/>
        <w:jc w:val="both"/>
        <w:rPr>
          <w:rFonts w:ascii="Arial" w:hAnsi="Arial" w:cs="Arial"/>
        </w:rPr>
      </w:pPr>
      <w:r>
        <w:rPr>
          <w:rFonts w:ascii="Arial" w:hAnsi="Arial" w:cs="Arial"/>
        </w:rPr>
        <w:t xml:space="preserve">El valor de las multas será: 1 </w:t>
      </w:r>
      <w:r w:rsidR="003C0B8F" w:rsidRPr="00AD2AE5">
        <w:rPr>
          <w:rFonts w:ascii="Arial" w:hAnsi="Arial" w:cs="Arial"/>
        </w:rPr>
        <w:t xml:space="preserve">% por cada </w:t>
      </w:r>
      <w:r w:rsidR="00182ECD" w:rsidRPr="00AD2AE5">
        <w:rPr>
          <w:rFonts w:ascii="Arial" w:hAnsi="Arial" w:cs="Arial"/>
        </w:rPr>
        <w:t xml:space="preserve">día </w:t>
      </w:r>
      <w:r w:rsidR="003C0B8F"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003C0B8F" w:rsidRPr="00AD2AE5">
        <w:rPr>
          <w:rFonts w:ascii="Arial" w:hAnsi="Arial" w:cs="Arial"/>
        </w:rPr>
        <w:t>.</w:t>
      </w:r>
      <w:r w:rsidR="00B72CDA" w:rsidRPr="00AD2AE5">
        <w:rPr>
          <w:rFonts w:ascii="Arial" w:hAnsi="Arial" w:cs="Arial"/>
        </w:rPr>
        <w:t xml:space="preserve"> </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6D4C605" w14:textId="77777777" w:rsidR="008F3FE2" w:rsidRDefault="008F3FE2" w:rsidP="00485E5E">
      <w:pPr>
        <w:spacing w:after="0" w:line="240" w:lineRule="auto"/>
        <w:rPr>
          <w:rFonts w:ascii="Arial" w:eastAsia="Times New Roman" w:hAnsi="Arial" w:cs="Arial"/>
          <w:sz w:val="44"/>
          <w:szCs w:val="20"/>
          <w:lang w:val="es-ES"/>
        </w:rPr>
      </w:pPr>
    </w:p>
    <w:p w14:paraId="25302CBF" w14:textId="77777777" w:rsidR="00485E5E" w:rsidRDefault="00485E5E" w:rsidP="00485E5E">
      <w:pPr>
        <w:spacing w:after="0" w:line="240" w:lineRule="auto"/>
        <w:rPr>
          <w:rFonts w:ascii="Arial" w:eastAsia="Times New Roman" w:hAnsi="Arial" w:cs="Arial"/>
          <w:sz w:val="44"/>
          <w:szCs w:val="20"/>
          <w:lang w:val="es-ES"/>
        </w:rPr>
      </w:pPr>
    </w:p>
    <w:p w14:paraId="4431572E" w14:textId="77777777" w:rsidR="00485E5E" w:rsidRDefault="00485E5E" w:rsidP="00485E5E">
      <w:pPr>
        <w:spacing w:after="0" w:line="240" w:lineRule="auto"/>
        <w:rPr>
          <w:rFonts w:ascii="Arial" w:eastAsia="Times New Roman" w:hAnsi="Arial" w:cs="Arial"/>
          <w:sz w:val="44"/>
          <w:szCs w:val="20"/>
          <w:lang w:val="es-ES"/>
        </w:rPr>
      </w:pPr>
    </w:p>
    <w:p w14:paraId="757576F0" w14:textId="77777777" w:rsidR="0069143B" w:rsidRPr="00C74B4B" w:rsidRDefault="0069143B" w:rsidP="00844ED7">
      <w:pPr>
        <w:spacing w:after="0" w:line="240" w:lineRule="auto"/>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51304D6B" w14:textId="20E1476A" w:rsidR="006B0D43" w:rsidRDefault="0012194C" w:rsidP="00485E5E">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7BAFA7A3" w14:textId="77777777" w:rsidR="008F3FE2" w:rsidRDefault="008F3FE2" w:rsidP="00626F10">
      <w:pPr>
        <w:pStyle w:val="SectionVIHeader"/>
        <w:spacing w:before="0" w:after="0" w:line="240" w:lineRule="auto"/>
        <w:jc w:val="left"/>
        <w:rPr>
          <w:rFonts w:ascii="Arial" w:hAnsi="Arial" w:cs="Arial"/>
          <w:b w:val="0"/>
          <w:bCs w:val="0"/>
          <w:sz w:val="22"/>
          <w:szCs w:val="20"/>
          <w:u w:val="single"/>
          <w:lang w:val="es-ES"/>
        </w:rPr>
      </w:pPr>
      <w:bookmarkStart w:id="0" w:name="_Toc228071956"/>
    </w:p>
    <w:p w14:paraId="0187750F" w14:textId="77777777" w:rsidR="00060283" w:rsidRDefault="00060283" w:rsidP="00626F10">
      <w:pPr>
        <w:pStyle w:val="SectionVIHeader"/>
        <w:spacing w:before="0" w:after="0" w:line="240" w:lineRule="auto"/>
        <w:jc w:val="left"/>
        <w:rPr>
          <w:rFonts w:ascii="Arial" w:hAnsi="Arial" w:cs="Arial"/>
          <w:b w:val="0"/>
          <w:bCs w:val="0"/>
          <w:sz w:val="22"/>
          <w:szCs w:val="20"/>
          <w:u w:val="single"/>
          <w:lang w:val="es-ES"/>
        </w:rPr>
      </w:pPr>
    </w:p>
    <w:p w14:paraId="1F8EBAD8"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p w14:paraId="41A2A7D7"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tbl>
      <w:tblPr>
        <w:tblW w:w="5400" w:type="pct"/>
        <w:tblCellMar>
          <w:left w:w="70" w:type="dxa"/>
          <w:right w:w="70" w:type="dxa"/>
        </w:tblCellMar>
        <w:tblLook w:val="04A0" w:firstRow="1" w:lastRow="0" w:firstColumn="1" w:lastColumn="0" w:noHBand="0" w:noVBand="1"/>
      </w:tblPr>
      <w:tblGrid>
        <w:gridCol w:w="480"/>
        <w:gridCol w:w="1238"/>
        <w:gridCol w:w="1366"/>
        <w:gridCol w:w="707"/>
        <w:gridCol w:w="931"/>
        <w:gridCol w:w="1170"/>
        <w:gridCol w:w="3806"/>
      </w:tblGrid>
      <w:tr w:rsidR="00F80D17" w:rsidRPr="00F80D17" w14:paraId="341D8378" w14:textId="77777777" w:rsidTr="00F80D17">
        <w:trPr>
          <w:cantSplit/>
          <w:trHeight w:val="690"/>
        </w:trPr>
        <w:tc>
          <w:tcPr>
            <w:tcW w:w="252" w:type="pct"/>
            <w:tcBorders>
              <w:top w:val="single" w:sz="4" w:space="0" w:color="auto"/>
              <w:left w:val="single" w:sz="8" w:space="0" w:color="auto"/>
              <w:bottom w:val="single" w:sz="8" w:space="0" w:color="auto"/>
              <w:right w:val="single" w:sz="8" w:space="0" w:color="auto"/>
            </w:tcBorders>
            <w:vAlign w:val="center"/>
            <w:hideMark/>
          </w:tcPr>
          <w:p w14:paraId="2B85EC8A" w14:textId="77777777" w:rsidR="00F80D17" w:rsidRPr="00F80D17" w:rsidRDefault="00F80D17" w:rsidP="00F80D17">
            <w:pPr>
              <w:jc w:val="center"/>
              <w:rPr>
                <w:rFonts w:ascii="Calibri" w:eastAsia="Calibri" w:hAnsi="Calibri" w:cs="Times New Roman"/>
                <w:b/>
                <w:color w:val="000000"/>
                <w:sz w:val="16"/>
                <w:szCs w:val="16"/>
              </w:rPr>
            </w:pPr>
            <w:r w:rsidRPr="00F80D17">
              <w:rPr>
                <w:rFonts w:ascii="Calibri" w:eastAsia="Calibri" w:hAnsi="Calibri" w:cs="Times New Roman"/>
                <w:b/>
                <w:bCs/>
                <w:color w:val="000000"/>
                <w:sz w:val="16"/>
                <w:szCs w:val="16"/>
              </w:rPr>
              <w:t>ITEM</w:t>
            </w:r>
          </w:p>
        </w:tc>
        <w:tc>
          <w:tcPr>
            <w:tcW w:w="717" w:type="pct"/>
            <w:tcBorders>
              <w:top w:val="single" w:sz="4" w:space="0" w:color="auto"/>
              <w:left w:val="nil"/>
              <w:bottom w:val="single" w:sz="8" w:space="0" w:color="auto"/>
              <w:right w:val="single" w:sz="8" w:space="0" w:color="auto"/>
            </w:tcBorders>
            <w:vAlign w:val="center"/>
            <w:hideMark/>
          </w:tcPr>
          <w:p w14:paraId="4BD0336A" w14:textId="77777777" w:rsidR="00F80D17" w:rsidRPr="00F80D17" w:rsidRDefault="00F80D17" w:rsidP="00F80D17">
            <w:pPr>
              <w:jc w:val="center"/>
              <w:rPr>
                <w:rFonts w:ascii="Calibri" w:eastAsia="Calibri" w:hAnsi="Calibri" w:cs="Times New Roman"/>
                <w:b/>
                <w:color w:val="000000"/>
                <w:sz w:val="16"/>
                <w:szCs w:val="16"/>
              </w:rPr>
            </w:pPr>
            <w:r w:rsidRPr="00F80D17">
              <w:rPr>
                <w:rFonts w:ascii="Calibri" w:eastAsia="Calibri" w:hAnsi="Calibri" w:cs="Times New Roman"/>
                <w:b/>
                <w:bCs/>
                <w:color w:val="000000"/>
                <w:sz w:val="16"/>
                <w:szCs w:val="16"/>
              </w:rPr>
              <w:t>CÓDIGO CATALOGO</w:t>
            </w:r>
          </w:p>
        </w:tc>
        <w:tc>
          <w:tcPr>
            <w:tcW w:w="746" w:type="pct"/>
            <w:tcBorders>
              <w:top w:val="single" w:sz="4" w:space="0" w:color="auto"/>
              <w:left w:val="nil"/>
              <w:bottom w:val="single" w:sz="8" w:space="0" w:color="auto"/>
              <w:right w:val="single" w:sz="8" w:space="0" w:color="auto"/>
            </w:tcBorders>
            <w:vAlign w:val="center"/>
            <w:hideMark/>
          </w:tcPr>
          <w:p w14:paraId="0D5135B7" w14:textId="77777777" w:rsidR="00F80D17" w:rsidRPr="00F80D17" w:rsidRDefault="00F80D17" w:rsidP="00F80D17">
            <w:pPr>
              <w:jc w:val="center"/>
              <w:rPr>
                <w:rFonts w:ascii="Calibri" w:eastAsia="Calibri" w:hAnsi="Calibri" w:cs="Times New Roman"/>
                <w:b/>
                <w:color w:val="000000"/>
                <w:sz w:val="16"/>
                <w:szCs w:val="16"/>
              </w:rPr>
            </w:pPr>
            <w:r w:rsidRPr="00F80D17">
              <w:rPr>
                <w:rFonts w:ascii="Calibri" w:eastAsia="Calibri" w:hAnsi="Calibri" w:cs="Times New Roman"/>
                <w:b/>
                <w:bCs/>
                <w:color w:val="000000"/>
                <w:sz w:val="16"/>
                <w:szCs w:val="16"/>
              </w:rPr>
              <w:t>DESCRIPCIÓN DEL BIEN</w:t>
            </w:r>
          </w:p>
        </w:tc>
        <w:tc>
          <w:tcPr>
            <w:tcW w:w="365" w:type="pct"/>
            <w:tcBorders>
              <w:top w:val="single" w:sz="4" w:space="0" w:color="auto"/>
              <w:left w:val="nil"/>
              <w:bottom w:val="single" w:sz="8" w:space="0" w:color="auto"/>
              <w:right w:val="single" w:sz="8" w:space="0" w:color="auto"/>
            </w:tcBorders>
            <w:vAlign w:val="center"/>
            <w:hideMark/>
          </w:tcPr>
          <w:p w14:paraId="7F86568A" w14:textId="77777777" w:rsidR="00F80D17" w:rsidRPr="00F80D17" w:rsidRDefault="00F80D17" w:rsidP="00F80D17">
            <w:pPr>
              <w:jc w:val="center"/>
              <w:rPr>
                <w:rFonts w:ascii="Calibri" w:eastAsia="Calibri" w:hAnsi="Calibri" w:cs="Times New Roman"/>
                <w:b/>
                <w:color w:val="000000"/>
                <w:sz w:val="16"/>
                <w:szCs w:val="16"/>
              </w:rPr>
            </w:pPr>
            <w:r w:rsidRPr="00F80D17">
              <w:rPr>
                <w:rFonts w:ascii="Calibri" w:eastAsia="Calibri" w:hAnsi="Calibri" w:cs="Times New Roman"/>
                <w:b/>
                <w:bCs/>
                <w:color w:val="000000"/>
                <w:sz w:val="16"/>
                <w:szCs w:val="16"/>
              </w:rPr>
              <w:t>UNIDAD DE MEDIDA</w:t>
            </w:r>
          </w:p>
        </w:tc>
        <w:tc>
          <w:tcPr>
            <w:tcW w:w="439" w:type="pct"/>
            <w:tcBorders>
              <w:top w:val="single" w:sz="4" w:space="0" w:color="auto"/>
              <w:left w:val="nil"/>
              <w:bottom w:val="single" w:sz="8" w:space="0" w:color="auto"/>
              <w:right w:val="single" w:sz="8" w:space="0" w:color="auto"/>
            </w:tcBorders>
            <w:vAlign w:val="center"/>
            <w:hideMark/>
          </w:tcPr>
          <w:p w14:paraId="5FB2DAA7" w14:textId="77777777" w:rsidR="00F80D17" w:rsidRPr="00F80D17" w:rsidRDefault="00F80D17" w:rsidP="00F80D17">
            <w:pPr>
              <w:jc w:val="center"/>
              <w:rPr>
                <w:rFonts w:ascii="Calibri" w:eastAsia="Calibri" w:hAnsi="Calibri" w:cs="Times New Roman"/>
                <w:b/>
                <w:color w:val="000000"/>
                <w:sz w:val="16"/>
                <w:szCs w:val="16"/>
              </w:rPr>
            </w:pPr>
            <w:r w:rsidRPr="00F80D17">
              <w:rPr>
                <w:rFonts w:ascii="Calibri" w:eastAsia="Calibri" w:hAnsi="Calibri" w:cs="Times New Roman"/>
                <w:b/>
                <w:bCs/>
                <w:color w:val="000000"/>
                <w:sz w:val="16"/>
                <w:szCs w:val="16"/>
              </w:rPr>
              <w:t>CANTIDAD REQUERIDA</w:t>
            </w:r>
          </w:p>
        </w:tc>
        <w:tc>
          <w:tcPr>
            <w:tcW w:w="437" w:type="pct"/>
            <w:tcBorders>
              <w:top w:val="single" w:sz="4" w:space="0" w:color="auto"/>
              <w:left w:val="nil"/>
              <w:bottom w:val="single" w:sz="8" w:space="0" w:color="auto"/>
              <w:right w:val="single" w:sz="8" w:space="0" w:color="auto"/>
            </w:tcBorders>
            <w:vAlign w:val="center"/>
            <w:hideMark/>
          </w:tcPr>
          <w:p w14:paraId="6B7B0F82" w14:textId="77777777" w:rsidR="00F80D17" w:rsidRPr="00F80D17" w:rsidRDefault="00F80D17" w:rsidP="00F80D17">
            <w:pPr>
              <w:jc w:val="center"/>
              <w:rPr>
                <w:rFonts w:ascii="Calibri" w:eastAsia="Calibri" w:hAnsi="Calibri" w:cs="Times New Roman"/>
                <w:b/>
                <w:color w:val="000000"/>
                <w:sz w:val="16"/>
                <w:szCs w:val="16"/>
              </w:rPr>
            </w:pPr>
            <w:r w:rsidRPr="00F80D17">
              <w:rPr>
                <w:rFonts w:ascii="Calibri" w:eastAsia="Calibri" w:hAnsi="Calibri" w:cs="Times New Roman"/>
                <w:b/>
                <w:bCs/>
                <w:color w:val="000000"/>
                <w:sz w:val="16"/>
                <w:szCs w:val="16"/>
              </w:rPr>
              <w:t>PRESENTACIÓN</w:t>
            </w:r>
          </w:p>
        </w:tc>
        <w:tc>
          <w:tcPr>
            <w:tcW w:w="2044" w:type="pct"/>
            <w:tcBorders>
              <w:top w:val="single" w:sz="4" w:space="0" w:color="auto"/>
              <w:left w:val="nil"/>
              <w:bottom w:val="single" w:sz="8" w:space="0" w:color="auto"/>
              <w:right w:val="single" w:sz="8" w:space="0" w:color="auto"/>
            </w:tcBorders>
            <w:vAlign w:val="center"/>
            <w:hideMark/>
          </w:tcPr>
          <w:p w14:paraId="6B0EDC12" w14:textId="77777777" w:rsidR="00F80D17" w:rsidRPr="00F80D17" w:rsidRDefault="00F80D17" w:rsidP="00F80D17">
            <w:pPr>
              <w:jc w:val="center"/>
              <w:rPr>
                <w:rFonts w:ascii="Calibri" w:eastAsia="Calibri" w:hAnsi="Calibri" w:cs="Times New Roman"/>
                <w:b/>
                <w:color w:val="000000"/>
                <w:sz w:val="28"/>
                <w:szCs w:val="28"/>
              </w:rPr>
            </w:pPr>
            <w:r w:rsidRPr="00F80D17">
              <w:rPr>
                <w:rFonts w:ascii="Calibri" w:eastAsia="Calibri" w:hAnsi="Calibri" w:cs="Times New Roman"/>
                <w:b/>
                <w:bCs/>
                <w:color w:val="000000"/>
                <w:sz w:val="28"/>
                <w:szCs w:val="28"/>
                <w:highlight w:val="yellow"/>
              </w:rPr>
              <w:t>ESPECIFICACIONES TECNICAS</w:t>
            </w:r>
          </w:p>
        </w:tc>
      </w:tr>
      <w:tr w:rsidR="00F80D17" w:rsidRPr="00F80D17" w14:paraId="184FEFF3" w14:textId="77777777" w:rsidTr="00F80D17">
        <w:trPr>
          <w:trHeight w:val="2040"/>
        </w:trPr>
        <w:tc>
          <w:tcPr>
            <w:tcW w:w="252" w:type="pct"/>
            <w:tcBorders>
              <w:top w:val="nil"/>
              <w:left w:val="single" w:sz="8" w:space="0" w:color="auto"/>
              <w:bottom w:val="single" w:sz="4" w:space="0" w:color="auto"/>
              <w:right w:val="single" w:sz="8" w:space="0" w:color="auto"/>
            </w:tcBorders>
            <w:vAlign w:val="center"/>
            <w:hideMark/>
          </w:tcPr>
          <w:p w14:paraId="6B495FD8" w14:textId="77777777" w:rsidR="00F80D17" w:rsidRPr="00F80D17" w:rsidRDefault="00F80D17" w:rsidP="00F80D17">
            <w:pPr>
              <w:jc w:val="center"/>
              <w:rPr>
                <w:rFonts w:ascii="Calibri" w:eastAsia="Calibri" w:hAnsi="Calibri" w:cs="Times New Roman"/>
                <w:color w:val="000000"/>
                <w:sz w:val="20"/>
                <w:szCs w:val="16"/>
              </w:rPr>
            </w:pPr>
            <w:r w:rsidRPr="00F80D17">
              <w:rPr>
                <w:rFonts w:ascii="Calibri" w:eastAsia="Calibri" w:hAnsi="Calibri" w:cs="Times New Roman"/>
                <w:color w:val="000000"/>
                <w:sz w:val="20"/>
                <w:szCs w:val="16"/>
              </w:rPr>
              <w:t>1</w:t>
            </w:r>
          </w:p>
        </w:tc>
        <w:tc>
          <w:tcPr>
            <w:tcW w:w="717" w:type="pct"/>
            <w:tcBorders>
              <w:top w:val="nil"/>
              <w:left w:val="nil"/>
              <w:bottom w:val="single" w:sz="4" w:space="0" w:color="auto"/>
              <w:right w:val="single" w:sz="8" w:space="0" w:color="auto"/>
            </w:tcBorders>
            <w:vAlign w:val="center"/>
            <w:hideMark/>
          </w:tcPr>
          <w:p w14:paraId="2708F37F" w14:textId="7929D22A" w:rsidR="00A46102" w:rsidRPr="00F80D17" w:rsidRDefault="00A46102" w:rsidP="00A46102">
            <w:pPr>
              <w:rPr>
                <w:rFonts w:ascii="Times New Roman" w:eastAsia="Calibri" w:hAnsi="Times New Roman" w:cs="Times New Roman"/>
                <w:sz w:val="20"/>
                <w:szCs w:val="20"/>
                <w:lang w:eastAsia="es-PY"/>
              </w:rPr>
            </w:pPr>
          </w:p>
          <w:p w14:paraId="0BE8646A" w14:textId="77777777" w:rsidR="00A46102" w:rsidRDefault="00A46102" w:rsidP="00A46102">
            <w:pPr>
              <w:jc w:val="center"/>
              <w:rPr>
                <w:rFonts w:ascii="Calibri" w:hAnsi="Calibri" w:cs="Calibri"/>
                <w:color w:val="000000"/>
                <w:sz w:val="16"/>
                <w:szCs w:val="16"/>
              </w:rPr>
            </w:pPr>
            <w:r>
              <w:rPr>
                <w:rFonts w:ascii="Calibri" w:hAnsi="Calibri" w:cs="Calibri"/>
                <w:color w:val="000000"/>
                <w:sz w:val="16"/>
                <w:szCs w:val="16"/>
              </w:rPr>
              <w:t>83112203-002</w:t>
            </w:r>
          </w:p>
          <w:p w14:paraId="78EEC5B8" w14:textId="54707B4F" w:rsidR="00F80D17" w:rsidRPr="00F80D17" w:rsidRDefault="00F80D17" w:rsidP="00F80D17">
            <w:pPr>
              <w:jc w:val="center"/>
              <w:rPr>
                <w:rFonts w:ascii="Calibri" w:eastAsia="Calibri" w:hAnsi="Calibri" w:cs="Times New Roman"/>
                <w:color w:val="000000"/>
                <w:sz w:val="16"/>
                <w:szCs w:val="16"/>
              </w:rPr>
            </w:pPr>
          </w:p>
        </w:tc>
        <w:tc>
          <w:tcPr>
            <w:tcW w:w="746" w:type="pct"/>
            <w:tcBorders>
              <w:top w:val="nil"/>
              <w:left w:val="nil"/>
              <w:bottom w:val="single" w:sz="4" w:space="0" w:color="auto"/>
              <w:right w:val="single" w:sz="8" w:space="0" w:color="auto"/>
            </w:tcBorders>
            <w:vAlign w:val="center"/>
            <w:hideMark/>
          </w:tcPr>
          <w:p w14:paraId="158FD2DC" w14:textId="77777777" w:rsidR="00325E99" w:rsidRDefault="00325E99" w:rsidP="00325E99">
            <w:pPr>
              <w:rPr>
                <w:rFonts w:ascii="Calibri" w:hAnsi="Calibri" w:cs="Calibri"/>
                <w:color w:val="000000"/>
                <w:sz w:val="16"/>
                <w:szCs w:val="16"/>
              </w:rPr>
            </w:pPr>
            <w:r>
              <w:rPr>
                <w:rFonts w:ascii="Calibri" w:hAnsi="Calibri" w:cs="Calibri"/>
                <w:color w:val="000000"/>
                <w:sz w:val="16"/>
                <w:szCs w:val="16"/>
              </w:rPr>
              <w:t xml:space="preserve">Provisión de Servicio VPN, con 2 Mbps de ancho de banda, incluyendo equipo de borde necesario para el enlace </w:t>
            </w:r>
            <w:proofErr w:type="spellStart"/>
            <w:r>
              <w:rPr>
                <w:rFonts w:ascii="Calibri" w:hAnsi="Calibri" w:cs="Calibri"/>
                <w:color w:val="000000"/>
                <w:sz w:val="16"/>
                <w:szCs w:val="16"/>
              </w:rPr>
              <w:t>vpn</w:t>
            </w:r>
            <w:proofErr w:type="spellEnd"/>
          </w:p>
          <w:p w14:paraId="7B24258B" w14:textId="39C4C9DA" w:rsidR="00F80D17" w:rsidRPr="00F80D17" w:rsidRDefault="00F80D17" w:rsidP="00F80D17">
            <w:pPr>
              <w:autoSpaceDE w:val="0"/>
              <w:autoSpaceDN w:val="0"/>
              <w:adjustRightInd w:val="0"/>
              <w:spacing w:after="0" w:line="240" w:lineRule="auto"/>
              <w:rPr>
                <w:rFonts w:ascii="Calibri" w:eastAsia="Calibri" w:hAnsi="Calibri" w:cs="Times New Roman"/>
                <w:color w:val="000000"/>
                <w:sz w:val="16"/>
                <w:szCs w:val="16"/>
              </w:rPr>
            </w:pPr>
          </w:p>
        </w:tc>
        <w:tc>
          <w:tcPr>
            <w:tcW w:w="365" w:type="pct"/>
            <w:tcBorders>
              <w:top w:val="nil"/>
              <w:left w:val="nil"/>
              <w:bottom w:val="single" w:sz="4" w:space="0" w:color="auto"/>
              <w:right w:val="single" w:sz="8" w:space="0" w:color="auto"/>
            </w:tcBorders>
            <w:vAlign w:val="center"/>
          </w:tcPr>
          <w:p w14:paraId="34C12F85" w14:textId="77777777" w:rsidR="00F80D17" w:rsidRPr="00F80D17" w:rsidRDefault="00F80D17" w:rsidP="00F80D17">
            <w:pPr>
              <w:jc w:val="center"/>
              <w:rPr>
                <w:rFonts w:ascii="Calibri" w:eastAsia="Calibri" w:hAnsi="Calibri" w:cs="Times New Roman"/>
                <w:color w:val="000000"/>
              </w:rPr>
            </w:pPr>
            <w:r w:rsidRPr="00F80D17">
              <w:rPr>
                <w:rFonts w:ascii="Calibri" w:eastAsia="Calibri" w:hAnsi="Calibri" w:cs="Times New Roman"/>
                <w:bCs/>
                <w:color w:val="000000"/>
              </w:rPr>
              <w:t>meses</w:t>
            </w:r>
          </w:p>
          <w:p w14:paraId="7248DC0D" w14:textId="77777777" w:rsidR="00F80D17" w:rsidRPr="00F80D17" w:rsidRDefault="00F80D17" w:rsidP="00F80D17">
            <w:pPr>
              <w:jc w:val="center"/>
              <w:rPr>
                <w:rFonts w:ascii="Calibri" w:eastAsia="Calibri" w:hAnsi="Calibri" w:cs="Times New Roman"/>
                <w:color w:val="000000"/>
              </w:rPr>
            </w:pPr>
          </w:p>
        </w:tc>
        <w:tc>
          <w:tcPr>
            <w:tcW w:w="439" w:type="pct"/>
            <w:tcBorders>
              <w:top w:val="nil"/>
              <w:left w:val="nil"/>
              <w:bottom w:val="single" w:sz="4" w:space="0" w:color="auto"/>
              <w:right w:val="single" w:sz="8" w:space="0" w:color="auto"/>
            </w:tcBorders>
            <w:vAlign w:val="center"/>
          </w:tcPr>
          <w:p w14:paraId="702EDDA6" w14:textId="0AE8C8CB" w:rsidR="00F80D17" w:rsidRPr="00F80D17" w:rsidRDefault="00325E99" w:rsidP="00F80D17">
            <w:pPr>
              <w:jc w:val="center"/>
              <w:rPr>
                <w:rFonts w:ascii="Calibri" w:eastAsia="Calibri" w:hAnsi="Calibri" w:cs="Times New Roman"/>
                <w:color w:val="000000"/>
              </w:rPr>
            </w:pPr>
            <w:r>
              <w:rPr>
                <w:rFonts w:ascii="Calibri" w:eastAsia="Calibri" w:hAnsi="Calibri" w:cs="Times New Roman"/>
                <w:color w:val="000000"/>
              </w:rPr>
              <w:t>9</w:t>
            </w:r>
          </w:p>
          <w:p w14:paraId="50FA1E1E" w14:textId="77777777" w:rsidR="00F80D17" w:rsidRPr="00F80D17" w:rsidRDefault="00F80D17" w:rsidP="00F80D17">
            <w:pPr>
              <w:jc w:val="center"/>
              <w:rPr>
                <w:rFonts w:ascii="Calibri" w:eastAsia="Calibri" w:hAnsi="Calibri" w:cs="Times New Roman"/>
                <w:color w:val="000000"/>
              </w:rPr>
            </w:pPr>
          </w:p>
        </w:tc>
        <w:tc>
          <w:tcPr>
            <w:tcW w:w="437" w:type="pct"/>
            <w:tcBorders>
              <w:top w:val="nil"/>
              <w:left w:val="nil"/>
              <w:bottom w:val="single" w:sz="4" w:space="0" w:color="auto"/>
              <w:right w:val="single" w:sz="8" w:space="0" w:color="auto"/>
            </w:tcBorders>
            <w:vAlign w:val="center"/>
            <w:hideMark/>
          </w:tcPr>
          <w:p w14:paraId="266245A2" w14:textId="61B45A81" w:rsidR="00F80D17" w:rsidRPr="00F80D17" w:rsidRDefault="00325E99" w:rsidP="00F80D17">
            <w:pPr>
              <w:jc w:val="center"/>
              <w:rPr>
                <w:rFonts w:ascii="Calibri" w:eastAsia="Calibri" w:hAnsi="Calibri" w:cs="Times New Roman"/>
                <w:color w:val="000000"/>
                <w:sz w:val="16"/>
                <w:szCs w:val="16"/>
              </w:rPr>
            </w:pPr>
            <w:r>
              <w:rPr>
                <w:rFonts w:ascii="Calibri" w:eastAsia="Calibri" w:hAnsi="Calibri" w:cs="Times New Roman"/>
                <w:color w:val="000000"/>
                <w:sz w:val="16"/>
                <w:szCs w:val="16"/>
              </w:rPr>
              <w:t>UNIDAD</w:t>
            </w:r>
          </w:p>
        </w:tc>
        <w:tc>
          <w:tcPr>
            <w:tcW w:w="2044" w:type="pct"/>
            <w:tcBorders>
              <w:top w:val="nil"/>
              <w:left w:val="nil"/>
              <w:bottom w:val="single" w:sz="4" w:space="0" w:color="auto"/>
              <w:right w:val="single" w:sz="8" w:space="0" w:color="auto"/>
            </w:tcBorders>
            <w:vAlign w:val="center"/>
            <w:hideMark/>
          </w:tcPr>
          <w:p w14:paraId="23161E70" w14:textId="375C719C" w:rsidR="00F80D17" w:rsidRPr="00F80D17" w:rsidRDefault="00F80D17" w:rsidP="00F80D17">
            <w:pPr>
              <w:rPr>
                <w:rFonts w:ascii="Calibri" w:eastAsia="Calibri" w:hAnsi="Calibri" w:cs="Times New Roman"/>
                <w:color w:val="000000"/>
                <w:sz w:val="24"/>
                <w:szCs w:val="24"/>
              </w:rPr>
            </w:pPr>
          </w:p>
          <w:p w14:paraId="707F4569" w14:textId="48128891" w:rsidR="00F80D17" w:rsidRDefault="00F80D17" w:rsidP="00F80D17">
            <w:pPr>
              <w:rPr>
                <w:rFonts w:ascii="Calibri" w:eastAsia="Calibri" w:hAnsi="Calibri" w:cs="Times New Roman"/>
                <w:color w:val="000000"/>
                <w:sz w:val="24"/>
                <w:szCs w:val="24"/>
              </w:rPr>
            </w:pPr>
            <w:r w:rsidRPr="00F80D17">
              <w:rPr>
                <w:rFonts w:ascii="Calibri" w:eastAsia="Calibri" w:hAnsi="Calibri" w:cs="Times New Roman"/>
                <w:color w:val="000000"/>
                <w:sz w:val="24"/>
                <w:szCs w:val="24"/>
              </w:rPr>
              <w:t>Deberá incluir los costos de instalación de acometida</w:t>
            </w:r>
            <w:r w:rsidR="00A46102">
              <w:rPr>
                <w:rFonts w:ascii="Calibri" w:eastAsia="Calibri" w:hAnsi="Calibri" w:cs="Times New Roman"/>
                <w:color w:val="000000"/>
                <w:sz w:val="24"/>
                <w:szCs w:val="24"/>
              </w:rPr>
              <w:t xml:space="preserve">, (materiales, cableado de tendido) </w:t>
            </w:r>
            <w:r w:rsidRPr="00F80D17">
              <w:rPr>
                <w:rFonts w:ascii="Calibri" w:eastAsia="Calibri" w:hAnsi="Calibri" w:cs="Times New Roman"/>
                <w:color w:val="000000"/>
                <w:sz w:val="24"/>
                <w:szCs w:val="24"/>
              </w:rPr>
              <w:t xml:space="preserve"> y otros necesarios para el funcionamiento pleno de la transmisión de los datos.</w:t>
            </w:r>
          </w:p>
          <w:p w14:paraId="229A6636" w14:textId="4D12D880" w:rsidR="00325E99" w:rsidRPr="00F80D17" w:rsidRDefault="00325E99" w:rsidP="00F80D17">
            <w:pPr>
              <w:rPr>
                <w:rFonts w:ascii="Calibri" w:eastAsia="Calibri" w:hAnsi="Calibri" w:cs="Times New Roman"/>
                <w:color w:val="000000"/>
                <w:sz w:val="16"/>
                <w:szCs w:val="16"/>
              </w:rPr>
            </w:pPr>
            <w:r>
              <w:rPr>
                <w:rFonts w:ascii="Calibri" w:eastAsia="Calibri" w:hAnsi="Calibri" w:cs="Times New Roman"/>
                <w:color w:val="000000"/>
                <w:sz w:val="24"/>
                <w:szCs w:val="24"/>
              </w:rPr>
              <w:t xml:space="preserve">Garantía  se debe garantizar  el servicio las 24 horas durante el periodo establecido, dentro de la vigencia todos los trabajos y equipos estarán respaldado por la empresa adjudicada </w:t>
            </w:r>
          </w:p>
        </w:tc>
      </w:tr>
    </w:tbl>
    <w:p w14:paraId="180DC5DD" w14:textId="77777777" w:rsidR="00F80D17" w:rsidRPr="00F80D17" w:rsidRDefault="00F80D17" w:rsidP="00626F10">
      <w:pPr>
        <w:pStyle w:val="SectionVIHeader"/>
        <w:spacing w:before="0" w:after="0" w:line="240" w:lineRule="auto"/>
        <w:jc w:val="left"/>
        <w:rPr>
          <w:rFonts w:ascii="Arial" w:hAnsi="Arial" w:cs="Arial"/>
          <w:b w:val="0"/>
          <w:bCs w:val="0"/>
          <w:sz w:val="22"/>
          <w:szCs w:val="20"/>
          <w:u w:val="single"/>
          <w:lang w:val="es-PA"/>
        </w:rPr>
      </w:pPr>
    </w:p>
    <w:p w14:paraId="636C7232"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p w14:paraId="19495697"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p w14:paraId="2D8B9C39"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p w14:paraId="5FF5077A"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p w14:paraId="562CCC2E" w14:textId="77777777" w:rsidR="00F80D17" w:rsidRDefault="00F80D17" w:rsidP="00626F10">
      <w:pPr>
        <w:pStyle w:val="SectionVIHeader"/>
        <w:spacing w:before="0" w:after="0" w:line="240" w:lineRule="auto"/>
        <w:jc w:val="left"/>
        <w:rPr>
          <w:rFonts w:ascii="Arial" w:hAnsi="Arial" w:cs="Arial"/>
          <w:b w:val="0"/>
          <w:bCs w:val="0"/>
          <w:sz w:val="22"/>
          <w:szCs w:val="20"/>
          <w:u w:val="single"/>
          <w:lang w:val="es-ES"/>
        </w:rPr>
      </w:pPr>
    </w:p>
    <w:p w14:paraId="0FA1DA07" w14:textId="77777777" w:rsidR="00F80D17" w:rsidRPr="00C74B4B" w:rsidRDefault="00F80D17" w:rsidP="00626F10">
      <w:pPr>
        <w:pStyle w:val="SectionVIHeader"/>
        <w:spacing w:before="0" w:after="0" w:line="240" w:lineRule="auto"/>
        <w:jc w:val="left"/>
        <w:rPr>
          <w:rFonts w:ascii="Arial" w:hAnsi="Arial" w:cs="Arial"/>
          <w:b w:val="0"/>
          <w:bCs w:val="0"/>
          <w:sz w:val="22"/>
          <w:szCs w:val="20"/>
          <w:u w:val="single"/>
          <w:lang w:val="es-ES"/>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420EF3AC" w14:textId="77777777" w:rsidR="00A9024C" w:rsidRDefault="00A9024C" w:rsidP="00626F10">
      <w:pPr>
        <w:pStyle w:val="SectionVIHeader"/>
        <w:spacing w:before="0" w:after="0" w:line="240" w:lineRule="auto"/>
        <w:jc w:val="left"/>
        <w:rPr>
          <w:rFonts w:ascii="Arial" w:hAnsi="Arial" w:cs="Arial"/>
          <w:b w:val="0"/>
          <w:bCs w:val="0"/>
          <w:sz w:val="22"/>
          <w:szCs w:val="20"/>
          <w:u w:val="single"/>
          <w:lang w:val="es-ES"/>
        </w:rPr>
      </w:pPr>
    </w:p>
    <w:p w14:paraId="2D782BBD" w14:textId="46311039" w:rsidR="00375785" w:rsidRDefault="00137A64" w:rsidP="00626F10">
      <w:pPr>
        <w:pStyle w:val="SectionVIHeader"/>
        <w:spacing w:before="0" w:after="0" w:line="240" w:lineRule="auto"/>
        <w:jc w:val="left"/>
        <w:rPr>
          <w:rFonts w:ascii="Arial" w:hAnsi="Arial" w:cs="Arial"/>
          <w:b w:val="0"/>
          <w:bCs w:val="0"/>
          <w:sz w:val="22"/>
          <w:szCs w:val="20"/>
          <w:u w:val="single"/>
          <w:lang w:val="es-ES"/>
        </w:rPr>
      </w:pPr>
      <w:r>
        <w:rPr>
          <w:rFonts w:ascii="Arial" w:hAnsi="Arial" w:cs="Arial"/>
          <w:b w:val="0"/>
          <w:bCs w:val="0"/>
          <w:sz w:val="22"/>
          <w:szCs w:val="20"/>
          <w:u w:val="single"/>
          <w:lang w:val="es-ES"/>
        </w:rPr>
        <w:t>A LOS 1</w:t>
      </w:r>
      <w:r w:rsidR="00197521">
        <w:rPr>
          <w:rFonts w:ascii="Arial" w:hAnsi="Arial" w:cs="Arial"/>
          <w:b w:val="0"/>
          <w:bCs w:val="0"/>
          <w:sz w:val="22"/>
          <w:szCs w:val="20"/>
          <w:u w:val="single"/>
          <w:lang w:val="es-ES"/>
        </w:rPr>
        <w:t>5</w:t>
      </w:r>
      <w:bookmarkStart w:id="1" w:name="_GoBack"/>
      <w:bookmarkEnd w:id="1"/>
      <w:r w:rsidR="00A9024C">
        <w:rPr>
          <w:rFonts w:ascii="Arial" w:hAnsi="Arial" w:cs="Arial"/>
          <w:b w:val="0"/>
          <w:bCs w:val="0"/>
          <w:sz w:val="22"/>
          <w:szCs w:val="20"/>
          <w:u w:val="single"/>
          <w:lang w:val="es-ES"/>
        </w:rPr>
        <w:t xml:space="preserve"> DIAS DE A VER FIRMADO EL CONTRATO, EN </w:t>
      </w:r>
      <w:r w:rsidR="00A9024C" w:rsidRPr="00A9024C">
        <w:rPr>
          <w:rFonts w:ascii="Arial" w:hAnsi="Arial" w:cs="Arial"/>
          <w:b w:val="0"/>
          <w:bCs w:val="0"/>
          <w:sz w:val="22"/>
          <w:szCs w:val="20"/>
          <w:u w:val="single"/>
          <w:lang w:val="es-ES"/>
        </w:rPr>
        <w:t xml:space="preserve"> LA MUNICIPALIDAD DE FERNANDO DE LA MORA, DIRECCION DE </w:t>
      </w:r>
      <w:proofErr w:type="spellStart"/>
      <w:r>
        <w:rPr>
          <w:rFonts w:ascii="Arial" w:hAnsi="Arial" w:cs="Arial"/>
          <w:b w:val="0"/>
          <w:bCs w:val="0"/>
          <w:sz w:val="22"/>
          <w:szCs w:val="20"/>
          <w:u w:val="single"/>
          <w:lang w:val="es-ES"/>
        </w:rPr>
        <w:t>informatica</w:t>
      </w:r>
      <w:proofErr w:type="spellEnd"/>
      <w:r w:rsidR="00A9024C" w:rsidRPr="00A9024C">
        <w:rPr>
          <w:rFonts w:ascii="Arial" w:hAnsi="Arial" w:cs="Arial"/>
          <w:b w:val="0"/>
          <w:bCs w:val="0"/>
          <w:sz w:val="22"/>
          <w:szCs w:val="20"/>
          <w:u w:val="single"/>
          <w:lang w:val="es-ES"/>
        </w:rPr>
        <w:t xml:space="preserve"> DESDE LAS 07:00 HS. A 13:30 DE LUNES A VIERNES</w:t>
      </w:r>
    </w:p>
    <w:p w14:paraId="7632B970" w14:textId="77777777" w:rsidR="00375785" w:rsidRDefault="00375785" w:rsidP="00626F10">
      <w:pPr>
        <w:pStyle w:val="SectionVIHeader"/>
        <w:spacing w:before="0" w:after="0" w:line="240" w:lineRule="auto"/>
        <w:jc w:val="left"/>
        <w:rPr>
          <w:rFonts w:ascii="Arial" w:hAnsi="Arial" w:cs="Arial"/>
          <w:b w:val="0"/>
          <w:bCs w:val="0"/>
          <w:sz w:val="22"/>
          <w:szCs w:val="20"/>
          <w:u w:val="single"/>
          <w:lang w:val="es-ES"/>
        </w:rPr>
      </w:pPr>
    </w:p>
    <w:bookmarkEnd w:id="0"/>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5B42DF8E" w14:textId="2F874372" w:rsidR="00212336" w:rsidRDefault="00E4280A" w:rsidP="005863AC">
      <w:pPr>
        <w:spacing w:after="0" w:line="240" w:lineRule="auto"/>
        <w:jc w:val="both"/>
        <w:rPr>
          <w:rFonts w:ascii="Arial" w:eastAsia="Times New Roman" w:hAnsi="Arial" w:cs="Arial"/>
          <w:b/>
          <w:sz w:val="36"/>
          <w:szCs w:val="20"/>
          <w:lang w:val="es-ES"/>
        </w:r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3D3DAC88" w14:textId="77777777" w:rsidR="00375785" w:rsidRDefault="00375785" w:rsidP="005863AC">
      <w:pPr>
        <w:spacing w:after="0" w:line="240" w:lineRule="auto"/>
        <w:jc w:val="both"/>
        <w:rPr>
          <w:rFonts w:ascii="Arial" w:eastAsia="Times New Roman" w:hAnsi="Arial" w:cs="Arial"/>
          <w:b/>
          <w:sz w:val="36"/>
          <w:szCs w:val="20"/>
          <w:lang w:val="es-ES"/>
        </w:rPr>
      </w:pPr>
    </w:p>
    <w:p w14:paraId="0210A45E" w14:textId="77777777" w:rsidR="00375785" w:rsidRDefault="00375785" w:rsidP="005863AC">
      <w:pPr>
        <w:spacing w:after="0" w:line="240" w:lineRule="auto"/>
        <w:jc w:val="both"/>
        <w:rPr>
          <w:rFonts w:ascii="Arial" w:eastAsia="Times New Roman" w:hAnsi="Arial" w:cs="Arial"/>
          <w:b/>
          <w:sz w:val="36"/>
          <w:szCs w:val="20"/>
          <w:lang w:val="es-ES"/>
        </w:rPr>
      </w:pPr>
    </w:p>
    <w:p w14:paraId="537E5E26" w14:textId="77777777" w:rsidR="00375785" w:rsidRPr="00C74B4B" w:rsidRDefault="00375785" w:rsidP="005863AC">
      <w:pPr>
        <w:spacing w:after="0" w:line="240" w:lineRule="auto"/>
        <w:jc w:val="both"/>
        <w:rPr>
          <w:rFonts w:ascii="Arial" w:eastAsia="Times New Roman" w:hAnsi="Arial" w:cs="Arial"/>
          <w:b/>
          <w:sz w:val="28"/>
          <w:szCs w:val="16"/>
          <w:lang w:val="es-ES" w:eastAsia="es-ES"/>
        </w:rPr>
        <w:sectPr w:rsidR="00375785" w:rsidRPr="00C74B4B" w:rsidSect="005221F3">
          <w:headerReference w:type="default" r:id="rId10"/>
          <w:pgSz w:w="12242" w:h="18722" w:code="269"/>
          <w:pgMar w:top="1418" w:right="1701" w:bottom="1418" w:left="1701" w:header="709" w:footer="709" w:gutter="0"/>
          <w:cols w:space="708"/>
          <w:docGrid w:linePitch="360"/>
        </w:sectPr>
      </w:pP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1378FE">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78FE">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1378FE">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1378FE">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1378FE">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1378FE">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1378FE">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1378FE">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1378FE">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1378FE">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1378FE">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1378FE">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1378FE">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1378FE">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1378FE">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1378F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1378FE">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1378FE">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C74B4B" w:rsidRDefault="002D4C87" w:rsidP="00B53BDD">
      <w:pPr>
        <w:pStyle w:val="Listaconvietas"/>
        <w:ind w:left="0"/>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1378FE">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76BB5C9B" w14:textId="77777777" w:rsidR="00137A64" w:rsidRPr="008F3FE2" w:rsidRDefault="00137A64" w:rsidP="00137A64">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 xml:space="preserve">años </w:t>
            </w:r>
            <w:r w:rsidRPr="00DE77B9">
              <w:rPr>
                <w:rFonts w:ascii="Times New Roman" w:hAnsi="Times New Roman" w:cs="Times New Roman"/>
                <w:i/>
                <w:iCs/>
                <w:color w:val="000000"/>
                <w:sz w:val="23"/>
                <w:szCs w:val="23"/>
                <w:lang w:val="es-PA"/>
              </w:rPr>
              <w:t xml:space="preserve"> 201</w:t>
            </w:r>
            <w:r>
              <w:rPr>
                <w:rFonts w:ascii="Times New Roman" w:hAnsi="Times New Roman" w:cs="Times New Roman"/>
                <w:i/>
                <w:iCs/>
                <w:color w:val="000000"/>
                <w:sz w:val="23"/>
                <w:szCs w:val="23"/>
                <w:lang w:val="es-PA"/>
              </w:rPr>
              <w:t xml:space="preserve">6 y 2017 que demuestren </w:t>
            </w:r>
            <w:r>
              <w:rPr>
                <w:spacing w:val="17"/>
                <w:highlight w:val="yellow"/>
              </w:rPr>
              <w:t>PROVISIÓN DE SERVICIOS VP</w:t>
            </w:r>
            <w:r>
              <w:rPr>
                <w:spacing w:val="17"/>
              </w:rPr>
              <w:t xml:space="preserve">N, </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50% (cincuenta </w:t>
            </w:r>
            <w:r w:rsidRPr="00DE77B9">
              <w:rPr>
                <w:rFonts w:ascii="Times New Roman" w:hAnsi="Times New Roman" w:cs="Times New Roman"/>
                <w:i/>
                <w:iCs/>
                <w:color w:val="000000"/>
                <w:sz w:val="23"/>
                <w:szCs w:val="23"/>
                <w:lang w:val="es-PA"/>
              </w:rPr>
              <w:t xml:space="preserve"> por ciento) del valor de la oferta </w:t>
            </w:r>
          </w:p>
          <w:p w14:paraId="4F3E0DDD" w14:textId="50B19F99" w:rsidR="00A97D7D" w:rsidRPr="00137A64" w:rsidRDefault="00A97D7D" w:rsidP="00137A64">
            <w:pPr>
              <w:autoSpaceDE w:val="0"/>
              <w:autoSpaceDN w:val="0"/>
              <w:adjustRightInd w:val="0"/>
              <w:spacing w:after="276" w:line="240" w:lineRule="auto"/>
              <w:rPr>
                <w:rFonts w:ascii="Arial" w:hAnsi="Arial" w:cs="Arial"/>
                <w:b/>
                <w:sz w:val="24"/>
                <w:lang w:val="es-PA"/>
              </w:rPr>
            </w:pPr>
          </w:p>
        </w:tc>
      </w:tr>
    </w:tbl>
    <w:p w14:paraId="0661DBC2" w14:textId="77777777" w:rsidR="002D4C87" w:rsidRDefault="002D4C87" w:rsidP="006119A4">
      <w:pPr>
        <w:pStyle w:val="Listaconvietas"/>
        <w:rPr>
          <w:rFonts w:ascii="Arial" w:hAnsi="Arial" w:cs="Arial"/>
          <w:sz w:val="24"/>
        </w:rPr>
      </w:pPr>
    </w:p>
    <w:p w14:paraId="63C12D10" w14:textId="77777777" w:rsidR="00FE49A4" w:rsidRDefault="00FE49A4" w:rsidP="006119A4">
      <w:pPr>
        <w:pStyle w:val="Listaconvietas"/>
        <w:rPr>
          <w:rFonts w:ascii="Arial" w:hAnsi="Arial" w:cs="Arial"/>
          <w:sz w:val="24"/>
        </w:rPr>
      </w:pPr>
    </w:p>
    <w:p w14:paraId="04EAABFD" w14:textId="77777777" w:rsidR="00FE49A4" w:rsidRDefault="00FE49A4" w:rsidP="006119A4">
      <w:pPr>
        <w:pStyle w:val="Listaconvietas"/>
        <w:rPr>
          <w:rFonts w:ascii="Arial" w:hAnsi="Arial" w:cs="Arial"/>
          <w:sz w:val="24"/>
        </w:rPr>
      </w:pPr>
    </w:p>
    <w:p w14:paraId="39D4AEF9" w14:textId="77777777" w:rsidR="00FE49A4" w:rsidRDefault="00FE49A4" w:rsidP="006119A4">
      <w:pPr>
        <w:pStyle w:val="Listaconvietas"/>
        <w:rPr>
          <w:rFonts w:ascii="Arial" w:hAnsi="Arial" w:cs="Arial"/>
          <w:sz w:val="24"/>
        </w:rPr>
      </w:pPr>
    </w:p>
    <w:p w14:paraId="2F496ACA" w14:textId="77777777" w:rsidR="00FE49A4" w:rsidRPr="00C74B4B" w:rsidRDefault="00FE49A4"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6355CF4C" w14:textId="77777777" w:rsidR="00870F88" w:rsidRDefault="00870F88" w:rsidP="00A97D7D">
      <w:pPr>
        <w:spacing w:after="0" w:line="240" w:lineRule="auto"/>
        <w:rPr>
          <w:rFonts w:ascii="Arial" w:hAnsi="Arial" w:cs="Arial"/>
          <w:b/>
          <w:sz w:val="40"/>
          <w:u w:val="single"/>
        </w:rPr>
      </w:pPr>
    </w:p>
    <w:p w14:paraId="6DFE7757"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378FE">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378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378FE">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378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1378FE">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1378FE">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1378FE">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22DE0" w14:textId="77777777" w:rsidR="00F7082F" w:rsidRDefault="00F7082F" w:rsidP="003D1C8A">
      <w:pPr>
        <w:spacing w:after="0" w:line="240" w:lineRule="auto"/>
      </w:pPr>
      <w:r>
        <w:separator/>
      </w:r>
    </w:p>
  </w:endnote>
  <w:endnote w:type="continuationSeparator" w:id="0">
    <w:p w14:paraId="24EC374C" w14:textId="77777777" w:rsidR="00F7082F" w:rsidRDefault="00F7082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76058" w14:textId="77777777" w:rsidR="00F7082F" w:rsidRDefault="00F7082F" w:rsidP="003D1C8A">
      <w:pPr>
        <w:spacing w:after="0" w:line="240" w:lineRule="auto"/>
      </w:pPr>
      <w:r>
        <w:separator/>
      </w:r>
    </w:p>
  </w:footnote>
  <w:footnote w:type="continuationSeparator" w:id="0">
    <w:p w14:paraId="1CF64902" w14:textId="77777777" w:rsidR="00F7082F" w:rsidRDefault="00F7082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74B471B"/>
    <w:multiLevelType w:val="hybridMultilevel"/>
    <w:tmpl w:val="4A30A29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
    <w:nsid w:val="18FC1F5C"/>
    <w:multiLevelType w:val="hybridMultilevel"/>
    <w:tmpl w:val="9B405508"/>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44245A96"/>
    <w:multiLevelType w:val="hybridMultilevel"/>
    <w:tmpl w:val="FB3CC34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B354459"/>
    <w:multiLevelType w:val="hybridMultilevel"/>
    <w:tmpl w:val="86A6FCA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7CD0037E"/>
    <w:multiLevelType w:val="hybridMultilevel"/>
    <w:tmpl w:val="E6A6F2D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
  </w:num>
  <w:num w:numId="4">
    <w:abstractNumId w:val="9"/>
  </w:num>
  <w:num w:numId="5">
    <w:abstractNumId w:val="17"/>
  </w:num>
  <w:num w:numId="6">
    <w:abstractNumId w:val="11"/>
  </w:num>
  <w:num w:numId="7">
    <w:abstractNumId w:val="19"/>
  </w:num>
  <w:num w:numId="8">
    <w:abstractNumId w:val="7"/>
  </w:num>
  <w:num w:numId="9">
    <w:abstractNumId w:val="10"/>
  </w:num>
  <w:num w:numId="10">
    <w:abstractNumId w:val="8"/>
  </w:num>
  <w:num w:numId="11">
    <w:abstractNumId w:val="18"/>
  </w:num>
  <w:num w:numId="12">
    <w:abstractNumId w:val="20"/>
  </w:num>
  <w:num w:numId="13">
    <w:abstractNumId w:val="4"/>
  </w:num>
  <w:num w:numId="14">
    <w:abstractNumId w:val="14"/>
  </w:num>
  <w:num w:numId="15">
    <w:abstractNumId w:val="5"/>
  </w:num>
  <w:num w:numId="16">
    <w:abstractNumId w:val="15"/>
  </w:num>
  <w:num w:numId="17">
    <w:abstractNumId w:val="21"/>
  </w:num>
  <w:num w:numId="18">
    <w:abstractNumId w:val="6"/>
  </w:num>
  <w:num w:numId="19">
    <w:abstractNumId w:val="2"/>
  </w:num>
  <w:num w:numId="20">
    <w:abstractNumId w:val="3"/>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52A48"/>
    <w:rsid w:val="00060283"/>
    <w:rsid w:val="00061E4F"/>
    <w:rsid w:val="00071449"/>
    <w:rsid w:val="00074656"/>
    <w:rsid w:val="0008485D"/>
    <w:rsid w:val="000A45A3"/>
    <w:rsid w:val="000A4BCF"/>
    <w:rsid w:val="000A79FA"/>
    <w:rsid w:val="000B3799"/>
    <w:rsid w:val="000B7024"/>
    <w:rsid w:val="000C6691"/>
    <w:rsid w:val="000D313C"/>
    <w:rsid w:val="000D5C09"/>
    <w:rsid w:val="000E169C"/>
    <w:rsid w:val="000E4893"/>
    <w:rsid w:val="000E5A80"/>
    <w:rsid w:val="000F1CCC"/>
    <w:rsid w:val="000F6F8F"/>
    <w:rsid w:val="0010139B"/>
    <w:rsid w:val="001047BD"/>
    <w:rsid w:val="00106362"/>
    <w:rsid w:val="00107965"/>
    <w:rsid w:val="00115E06"/>
    <w:rsid w:val="00120899"/>
    <w:rsid w:val="0012194C"/>
    <w:rsid w:val="0012233D"/>
    <w:rsid w:val="00126ECE"/>
    <w:rsid w:val="00134709"/>
    <w:rsid w:val="001378FE"/>
    <w:rsid w:val="00137A64"/>
    <w:rsid w:val="00140563"/>
    <w:rsid w:val="0014333C"/>
    <w:rsid w:val="00173C9E"/>
    <w:rsid w:val="00182ECD"/>
    <w:rsid w:val="00182FAF"/>
    <w:rsid w:val="0018343B"/>
    <w:rsid w:val="00191C54"/>
    <w:rsid w:val="00197521"/>
    <w:rsid w:val="00197E67"/>
    <w:rsid w:val="001A3568"/>
    <w:rsid w:val="001A56E7"/>
    <w:rsid w:val="001B32CF"/>
    <w:rsid w:val="001C252A"/>
    <w:rsid w:val="001C3235"/>
    <w:rsid w:val="001D7681"/>
    <w:rsid w:val="001E204D"/>
    <w:rsid w:val="001E29FA"/>
    <w:rsid w:val="001E42A2"/>
    <w:rsid w:val="001E7859"/>
    <w:rsid w:val="001F02FA"/>
    <w:rsid w:val="001F4915"/>
    <w:rsid w:val="001F62A3"/>
    <w:rsid w:val="001F6D72"/>
    <w:rsid w:val="00200A95"/>
    <w:rsid w:val="00212336"/>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B70ED"/>
    <w:rsid w:val="002C623B"/>
    <w:rsid w:val="002C78B5"/>
    <w:rsid w:val="002D4C87"/>
    <w:rsid w:val="002F7114"/>
    <w:rsid w:val="003023D1"/>
    <w:rsid w:val="00303046"/>
    <w:rsid w:val="00305CEE"/>
    <w:rsid w:val="00310AED"/>
    <w:rsid w:val="00320350"/>
    <w:rsid w:val="00325E99"/>
    <w:rsid w:val="0033013E"/>
    <w:rsid w:val="003303C3"/>
    <w:rsid w:val="00344823"/>
    <w:rsid w:val="003640C8"/>
    <w:rsid w:val="00373EE0"/>
    <w:rsid w:val="00375785"/>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323E"/>
    <w:rsid w:val="00474BCE"/>
    <w:rsid w:val="00475497"/>
    <w:rsid w:val="00483BC5"/>
    <w:rsid w:val="00485E5E"/>
    <w:rsid w:val="00490EE4"/>
    <w:rsid w:val="0049759C"/>
    <w:rsid w:val="004A0799"/>
    <w:rsid w:val="004A1290"/>
    <w:rsid w:val="004A7D22"/>
    <w:rsid w:val="004B187B"/>
    <w:rsid w:val="004B2EEE"/>
    <w:rsid w:val="004B59A6"/>
    <w:rsid w:val="004C039D"/>
    <w:rsid w:val="004C4651"/>
    <w:rsid w:val="004C62A9"/>
    <w:rsid w:val="004D377C"/>
    <w:rsid w:val="004D3D6D"/>
    <w:rsid w:val="004D5BB9"/>
    <w:rsid w:val="004D7F5F"/>
    <w:rsid w:val="004E13B2"/>
    <w:rsid w:val="004E225B"/>
    <w:rsid w:val="004E4203"/>
    <w:rsid w:val="004E5730"/>
    <w:rsid w:val="004E69A3"/>
    <w:rsid w:val="004F587D"/>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1C11"/>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3BB0"/>
    <w:rsid w:val="00615527"/>
    <w:rsid w:val="006165F2"/>
    <w:rsid w:val="00616EED"/>
    <w:rsid w:val="006235A1"/>
    <w:rsid w:val="00624D51"/>
    <w:rsid w:val="00626F10"/>
    <w:rsid w:val="006333B2"/>
    <w:rsid w:val="00652C9E"/>
    <w:rsid w:val="00666185"/>
    <w:rsid w:val="00667C00"/>
    <w:rsid w:val="0067437B"/>
    <w:rsid w:val="006761E4"/>
    <w:rsid w:val="00685C80"/>
    <w:rsid w:val="0069143B"/>
    <w:rsid w:val="00694378"/>
    <w:rsid w:val="006A7D23"/>
    <w:rsid w:val="006B0D43"/>
    <w:rsid w:val="006B2735"/>
    <w:rsid w:val="006B3670"/>
    <w:rsid w:val="006C149F"/>
    <w:rsid w:val="006D0B4A"/>
    <w:rsid w:val="006D1AEA"/>
    <w:rsid w:val="006E0CFD"/>
    <w:rsid w:val="006E3233"/>
    <w:rsid w:val="00702BC5"/>
    <w:rsid w:val="00707DD9"/>
    <w:rsid w:val="00710677"/>
    <w:rsid w:val="00710F7E"/>
    <w:rsid w:val="007129EB"/>
    <w:rsid w:val="00715373"/>
    <w:rsid w:val="00721BBE"/>
    <w:rsid w:val="007262B6"/>
    <w:rsid w:val="00730EEB"/>
    <w:rsid w:val="00737F48"/>
    <w:rsid w:val="00741391"/>
    <w:rsid w:val="007458B9"/>
    <w:rsid w:val="007547B5"/>
    <w:rsid w:val="00761A1F"/>
    <w:rsid w:val="00770832"/>
    <w:rsid w:val="00774386"/>
    <w:rsid w:val="007851BA"/>
    <w:rsid w:val="00787D0D"/>
    <w:rsid w:val="007903E6"/>
    <w:rsid w:val="007A270F"/>
    <w:rsid w:val="007B3660"/>
    <w:rsid w:val="007C1970"/>
    <w:rsid w:val="007C69E9"/>
    <w:rsid w:val="007D2766"/>
    <w:rsid w:val="007E37A2"/>
    <w:rsid w:val="007E5119"/>
    <w:rsid w:val="008116BF"/>
    <w:rsid w:val="00814337"/>
    <w:rsid w:val="00827CEA"/>
    <w:rsid w:val="008318D7"/>
    <w:rsid w:val="008321B9"/>
    <w:rsid w:val="00844ED7"/>
    <w:rsid w:val="00846659"/>
    <w:rsid w:val="00855835"/>
    <w:rsid w:val="0086474A"/>
    <w:rsid w:val="00866147"/>
    <w:rsid w:val="00870F88"/>
    <w:rsid w:val="0087278F"/>
    <w:rsid w:val="00880949"/>
    <w:rsid w:val="00880D90"/>
    <w:rsid w:val="00881AC9"/>
    <w:rsid w:val="0088453E"/>
    <w:rsid w:val="00887A41"/>
    <w:rsid w:val="0089306B"/>
    <w:rsid w:val="008A7BFD"/>
    <w:rsid w:val="008B110A"/>
    <w:rsid w:val="008C1B4A"/>
    <w:rsid w:val="008D00C2"/>
    <w:rsid w:val="008D2059"/>
    <w:rsid w:val="008E3366"/>
    <w:rsid w:val="008E5B81"/>
    <w:rsid w:val="008F1B91"/>
    <w:rsid w:val="008F200B"/>
    <w:rsid w:val="008F3FE2"/>
    <w:rsid w:val="008F622A"/>
    <w:rsid w:val="00900483"/>
    <w:rsid w:val="00900976"/>
    <w:rsid w:val="0090139F"/>
    <w:rsid w:val="00914581"/>
    <w:rsid w:val="0092019F"/>
    <w:rsid w:val="00920931"/>
    <w:rsid w:val="009216F0"/>
    <w:rsid w:val="00921766"/>
    <w:rsid w:val="00947242"/>
    <w:rsid w:val="00954F0F"/>
    <w:rsid w:val="00962E59"/>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D0B10"/>
    <w:rsid w:val="009E4A48"/>
    <w:rsid w:val="009F536E"/>
    <w:rsid w:val="00A00107"/>
    <w:rsid w:val="00A00B4F"/>
    <w:rsid w:val="00A040A2"/>
    <w:rsid w:val="00A049D3"/>
    <w:rsid w:val="00A13093"/>
    <w:rsid w:val="00A1743F"/>
    <w:rsid w:val="00A20D86"/>
    <w:rsid w:val="00A27031"/>
    <w:rsid w:val="00A35CDC"/>
    <w:rsid w:val="00A4217C"/>
    <w:rsid w:val="00A46102"/>
    <w:rsid w:val="00A55230"/>
    <w:rsid w:val="00A555C5"/>
    <w:rsid w:val="00A64641"/>
    <w:rsid w:val="00A6606E"/>
    <w:rsid w:val="00A72141"/>
    <w:rsid w:val="00A75691"/>
    <w:rsid w:val="00A8062C"/>
    <w:rsid w:val="00A8113B"/>
    <w:rsid w:val="00A81FCE"/>
    <w:rsid w:val="00A8556C"/>
    <w:rsid w:val="00A9013B"/>
    <w:rsid w:val="00A9024C"/>
    <w:rsid w:val="00A90874"/>
    <w:rsid w:val="00A91809"/>
    <w:rsid w:val="00A91DD5"/>
    <w:rsid w:val="00A93666"/>
    <w:rsid w:val="00A94CBE"/>
    <w:rsid w:val="00A97BC7"/>
    <w:rsid w:val="00A97D7D"/>
    <w:rsid w:val="00AA3AA2"/>
    <w:rsid w:val="00AA4F4E"/>
    <w:rsid w:val="00AB1679"/>
    <w:rsid w:val="00AB26A2"/>
    <w:rsid w:val="00AB53A6"/>
    <w:rsid w:val="00AC6AF1"/>
    <w:rsid w:val="00AD2AE5"/>
    <w:rsid w:val="00AD3598"/>
    <w:rsid w:val="00AD7D92"/>
    <w:rsid w:val="00AF4491"/>
    <w:rsid w:val="00B00B28"/>
    <w:rsid w:val="00B012BE"/>
    <w:rsid w:val="00B04FD2"/>
    <w:rsid w:val="00B068EB"/>
    <w:rsid w:val="00B208ED"/>
    <w:rsid w:val="00B242C8"/>
    <w:rsid w:val="00B25658"/>
    <w:rsid w:val="00B266D6"/>
    <w:rsid w:val="00B41E03"/>
    <w:rsid w:val="00B46517"/>
    <w:rsid w:val="00B53BDD"/>
    <w:rsid w:val="00B650FE"/>
    <w:rsid w:val="00B710B6"/>
    <w:rsid w:val="00B72282"/>
    <w:rsid w:val="00B72CDA"/>
    <w:rsid w:val="00B733E1"/>
    <w:rsid w:val="00B91E1C"/>
    <w:rsid w:val="00B92B18"/>
    <w:rsid w:val="00B978BA"/>
    <w:rsid w:val="00BA062A"/>
    <w:rsid w:val="00BA0F13"/>
    <w:rsid w:val="00BA2516"/>
    <w:rsid w:val="00BB13B8"/>
    <w:rsid w:val="00BC162F"/>
    <w:rsid w:val="00BC3529"/>
    <w:rsid w:val="00BD5144"/>
    <w:rsid w:val="00BD797A"/>
    <w:rsid w:val="00BF1C21"/>
    <w:rsid w:val="00C016B0"/>
    <w:rsid w:val="00C05BA3"/>
    <w:rsid w:val="00C10B30"/>
    <w:rsid w:val="00C143FC"/>
    <w:rsid w:val="00C22F95"/>
    <w:rsid w:val="00C243BA"/>
    <w:rsid w:val="00C2770A"/>
    <w:rsid w:val="00C445EB"/>
    <w:rsid w:val="00C52DA7"/>
    <w:rsid w:val="00C53A7F"/>
    <w:rsid w:val="00C5575E"/>
    <w:rsid w:val="00C61829"/>
    <w:rsid w:val="00C62114"/>
    <w:rsid w:val="00C7067B"/>
    <w:rsid w:val="00C74B4B"/>
    <w:rsid w:val="00C76157"/>
    <w:rsid w:val="00C82218"/>
    <w:rsid w:val="00C85F27"/>
    <w:rsid w:val="00C869A9"/>
    <w:rsid w:val="00C87CC5"/>
    <w:rsid w:val="00C90A12"/>
    <w:rsid w:val="00CA1FB3"/>
    <w:rsid w:val="00CA540F"/>
    <w:rsid w:val="00CA7145"/>
    <w:rsid w:val="00CC3664"/>
    <w:rsid w:val="00CC4758"/>
    <w:rsid w:val="00CE121D"/>
    <w:rsid w:val="00CF1418"/>
    <w:rsid w:val="00D11E97"/>
    <w:rsid w:val="00D1316F"/>
    <w:rsid w:val="00D15C69"/>
    <w:rsid w:val="00D23BCB"/>
    <w:rsid w:val="00D3232F"/>
    <w:rsid w:val="00D44082"/>
    <w:rsid w:val="00D457E2"/>
    <w:rsid w:val="00D46FF3"/>
    <w:rsid w:val="00D54432"/>
    <w:rsid w:val="00D575DA"/>
    <w:rsid w:val="00D619CB"/>
    <w:rsid w:val="00D62B6C"/>
    <w:rsid w:val="00D74FA4"/>
    <w:rsid w:val="00D87104"/>
    <w:rsid w:val="00D921D3"/>
    <w:rsid w:val="00D9408F"/>
    <w:rsid w:val="00D972E5"/>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5213"/>
    <w:rsid w:val="00E0617C"/>
    <w:rsid w:val="00E1371B"/>
    <w:rsid w:val="00E148FA"/>
    <w:rsid w:val="00E172F5"/>
    <w:rsid w:val="00E23F7F"/>
    <w:rsid w:val="00E4280A"/>
    <w:rsid w:val="00E51A96"/>
    <w:rsid w:val="00E52F4E"/>
    <w:rsid w:val="00E537CA"/>
    <w:rsid w:val="00E562DE"/>
    <w:rsid w:val="00E6349D"/>
    <w:rsid w:val="00E657C3"/>
    <w:rsid w:val="00E670F1"/>
    <w:rsid w:val="00E717C7"/>
    <w:rsid w:val="00E71A81"/>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214E1"/>
    <w:rsid w:val="00F3395C"/>
    <w:rsid w:val="00F461F9"/>
    <w:rsid w:val="00F51025"/>
    <w:rsid w:val="00F5123C"/>
    <w:rsid w:val="00F5183B"/>
    <w:rsid w:val="00F57519"/>
    <w:rsid w:val="00F610A7"/>
    <w:rsid w:val="00F64AB8"/>
    <w:rsid w:val="00F7082F"/>
    <w:rsid w:val="00F732AB"/>
    <w:rsid w:val="00F805DE"/>
    <w:rsid w:val="00F80D17"/>
    <w:rsid w:val="00F956AC"/>
    <w:rsid w:val="00F97D0C"/>
    <w:rsid w:val="00FB6913"/>
    <w:rsid w:val="00FD55A1"/>
    <w:rsid w:val="00FE49A4"/>
    <w:rsid w:val="00FE55A9"/>
    <w:rsid w:val="00FE6FD8"/>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42767442">
      <w:bodyDiv w:val="1"/>
      <w:marLeft w:val="0"/>
      <w:marRight w:val="0"/>
      <w:marTop w:val="0"/>
      <w:marBottom w:val="0"/>
      <w:divBdr>
        <w:top w:val="none" w:sz="0" w:space="0" w:color="auto"/>
        <w:left w:val="none" w:sz="0" w:space="0" w:color="auto"/>
        <w:bottom w:val="none" w:sz="0" w:space="0" w:color="auto"/>
        <w:right w:val="none" w:sz="0" w:space="0" w:color="auto"/>
      </w:divBdr>
    </w:div>
    <w:div w:id="324357398">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16524274">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67615480">
      <w:bodyDiv w:val="1"/>
      <w:marLeft w:val="0"/>
      <w:marRight w:val="0"/>
      <w:marTop w:val="0"/>
      <w:marBottom w:val="0"/>
      <w:divBdr>
        <w:top w:val="none" w:sz="0" w:space="0" w:color="auto"/>
        <w:left w:val="none" w:sz="0" w:space="0" w:color="auto"/>
        <w:bottom w:val="none" w:sz="0" w:space="0" w:color="auto"/>
        <w:right w:val="none" w:sz="0" w:space="0" w:color="auto"/>
      </w:divBdr>
    </w:div>
    <w:div w:id="129120322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81520421">
      <w:bodyDiv w:val="1"/>
      <w:marLeft w:val="0"/>
      <w:marRight w:val="0"/>
      <w:marTop w:val="0"/>
      <w:marBottom w:val="0"/>
      <w:divBdr>
        <w:top w:val="none" w:sz="0" w:space="0" w:color="auto"/>
        <w:left w:val="none" w:sz="0" w:space="0" w:color="auto"/>
        <w:bottom w:val="none" w:sz="0" w:space="0" w:color="auto"/>
        <w:right w:val="none" w:sz="0" w:space="0" w:color="auto"/>
      </w:divBdr>
    </w:div>
    <w:div w:id="1996763761">
      <w:bodyDiv w:val="1"/>
      <w:marLeft w:val="0"/>
      <w:marRight w:val="0"/>
      <w:marTop w:val="0"/>
      <w:marBottom w:val="0"/>
      <w:divBdr>
        <w:top w:val="none" w:sz="0" w:space="0" w:color="auto"/>
        <w:left w:val="none" w:sz="0" w:space="0" w:color="auto"/>
        <w:bottom w:val="none" w:sz="0" w:space="0" w:color="auto"/>
        <w:right w:val="none" w:sz="0" w:space="0" w:color="auto"/>
      </w:divBdr>
    </w:div>
    <w:div w:id="210877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ED011-0010-481E-9D54-B4272F5E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17</Pages>
  <Words>5187</Words>
  <Characters>28531</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36</cp:revision>
  <cp:lastPrinted>2013-04-12T19:26:00Z</cp:lastPrinted>
  <dcterms:created xsi:type="dcterms:W3CDTF">2017-09-07T19:04:00Z</dcterms:created>
  <dcterms:modified xsi:type="dcterms:W3CDTF">2018-02-20T16:19:00Z</dcterms:modified>
</cp:coreProperties>
</file>