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0186449C" w14:textId="77777777" w:rsidR="00EF4999" w:rsidRDefault="00EF4999" w:rsidP="00EF4999">
      <w:pPr>
        <w:spacing w:after="0" w:line="240" w:lineRule="auto"/>
        <w:jc w:val="center"/>
        <w:rPr>
          <w:rFonts w:ascii="Times New Roman" w:eastAsia="Times New Roman" w:hAnsi="Times New Roman" w:cs="Times New Roman"/>
          <w:noProof/>
          <w:spacing w:val="42"/>
          <w:sz w:val="72"/>
          <w:szCs w:val="72"/>
        </w:rPr>
      </w:pPr>
      <w:r>
        <w:rPr>
          <w:rFonts w:ascii="Times New Roman" w:eastAsia="Times New Roman" w:hAnsi="Times New Roman" w:cs="Times New Roman"/>
          <w:noProof/>
          <w:spacing w:val="42"/>
          <w:sz w:val="96"/>
          <w:szCs w:val="72"/>
          <w:lang w:eastAsia="es-PY"/>
        </w:rPr>
        <w:drawing>
          <wp:anchor distT="0" distB="0" distL="114300" distR="114300" simplePos="0" relativeHeight="251659264" behindDoc="1" locked="0" layoutInCell="1" allowOverlap="1" wp14:anchorId="51B498A3" wp14:editId="18507D1C">
            <wp:simplePos x="0" y="0"/>
            <wp:positionH relativeFrom="column">
              <wp:posOffset>-15240</wp:posOffset>
            </wp:positionH>
            <wp:positionV relativeFrom="paragraph">
              <wp:posOffset>1470660</wp:posOffset>
            </wp:positionV>
            <wp:extent cx="6086475" cy="53022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8">
                      <a:lum bright="50000" contrast="-60000"/>
                      <a:extLst>
                        <a:ext uri="{28A0092B-C50C-407E-A947-70E740481C1C}">
                          <a14:useLocalDpi xmlns:a14="http://schemas.microsoft.com/office/drawing/2010/main" val="0"/>
                        </a:ext>
                      </a:extLst>
                    </a:blip>
                    <a:srcRect t="-1218" b="-14001"/>
                    <a:stretch>
                      <a:fillRect/>
                    </a:stretch>
                  </pic:blipFill>
                  <pic:spPr bwMode="auto">
                    <a:xfrm>
                      <a:off x="0" y="0"/>
                      <a:ext cx="6086475" cy="5302250"/>
                    </a:xfrm>
                    <a:prstGeom prst="rect">
                      <a:avLst/>
                    </a:prstGeom>
                    <a:noFill/>
                    <a:ln>
                      <a:noFill/>
                    </a:ln>
                  </pic:spPr>
                </pic:pic>
              </a:graphicData>
            </a:graphic>
          </wp:anchor>
        </w:drawing>
      </w:r>
      <w:r w:rsidRPr="00D07100">
        <w:rPr>
          <w:rFonts w:ascii="Times New Roman" w:eastAsia="Times New Roman" w:hAnsi="Times New Roman" w:cs="Times New Roman"/>
          <w:noProof/>
          <w:spacing w:val="42"/>
          <w:sz w:val="96"/>
          <w:szCs w:val="72"/>
        </w:rPr>
        <w:t>C</w:t>
      </w:r>
      <w:r w:rsidRPr="00D07100">
        <w:rPr>
          <w:rFonts w:ascii="Times New Roman" w:eastAsia="Times New Roman" w:hAnsi="Times New Roman" w:cs="Times New Roman"/>
          <w:noProof/>
          <w:spacing w:val="42"/>
          <w:sz w:val="72"/>
          <w:szCs w:val="72"/>
        </w:rPr>
        <w:t xml:space="preserve">ONTRATACION </w:t>
      </w:r>
      <w:r w:rsidRPr="00040B56">
        <w:rPr>
          <w:rFonts w:ascii="Times New Roman" w:eastAsia="Times New Roman" w:hAnsi="Times New Roman" w:cs="Times New Roman"/>
          <w:noProof/>
          <w:spacing w:val="42"/>
          <w:sz w:val="96"/>
          <w:szCs w:val="72"/>
        </w:rPr>
        <w:t>D</w:t>
      </w:r>
      <w:r w:rsidRPr="00D07100">
        <w:rPr>
          <w:rFonts w:ascii="Times New Roman" w:eastAsia="Times New Roman" w:hAnsi="Times New Roman" w:cs="Times New Roman"/>
          <w:noProof/>
          <w:spacing w:val="42"/>
          <w:sz w:val="72"/>
          <w:szCs w:val="72"/>
        </w:rPr>
        <w:t>IRECTA</w:t>
      </w:r>
    </w:p>
    <w:p w14:paraId="1702CA53" w14:textId="77777777" w:rsidR="00EF4999" w:rsidRPr="003567F2" w:rsidRDefault="00EF4999" w:rsidP="00EF4999">
      <w:pPr>
        <w:spacing w:after="0" w:line="240" w:lineRule="auto"/>
        <w:jc w:val="center"/>
        <w:rPr>
          <w:rFonts w:ascii="Arial Black" w:hAnsi="Arial Black" w:cs="Arial"/>
          <w:b/>
          <w:spacing w:val="20"/>
          <w:sz w:val="48"/>
          <w:szCs w:val="48"/>
        </w:rPr>
      </w:pPr>
    </w:p>
    <w:p w14:paraId="611887BA" w14:textId="58BAF8E3" w:rsidR="00EF4999" w:rsidRPr="00D07100" w:rsidRDefault="00BE0830" w:rsidP="00EF4999">
      <w:pPr>
        <w:widowControl w:val="0"/>
        <w:adjustRightInd w:val="0"/>
        <w:spacing w:after="0" w:line="360" w:lineRule="atLeast"/>
        <w:jc w:val="center"/>
        <w:textAlignment w:val="baseline"/>
        <w:outlineLvl w:val="0"/>
        <w:rPr>
          <w:rFonts w:ascii="Times New Roman" w:eastAsia="Times New Roman" w:hAnsi="Times New Roman" w:cs="Times New Roman"/>
          <w:spacing w:val="42"/>
          <w:sz w:val="56"/>
          <w:szCs w:val="56"/>
          <w:lang w:val="es-AR"/>
        </w:rPr>
      </w:pPr>
      <w:r>
        <w:rPr>
          <w:rFonts w:ascii="Times New Roman" w:eastAsia="Times New Roman" w:hAnsi="Times New Roman" w:cs="Times New Roman"/>
          <w:spacing w:val="42"/>
          <w:sz w:val="56"/>
          <w:szCs w:val="56"/>
          <w:lang w:val="es-AR"/>
        </w:rPr>
        <w:t>Nº 14</w:t>
      </w:r>
      <w:r w:rsidR="00EF4999" w:rsidRPr="00D07100">
        <w:rPr>
          <w:rFonts w:ascii="Times New Roman" w:eastAsia="Times New Roman" w:hAnsi="Times New Roman" w:cs="Times New Roman"/>
          <w:spacing w:val="42"/>
          <w:sz w:val="56"/>
          <w:szCs w:val="56"/>
          <w:lang w:val="es-AR"/>
        </w:rPr>
        <w:t>/201</w:t>
      </w:r>
      <w:r w:rsidR="00EF4999">
        <w:rPr>
          <w:rFonts w:ascii="Times New Roman" w:eastAsia="Times New Roman" w:hAnsi="Times New Roman" w:cs="Times New Roman"/>
          <w:spacing w:val="42"/>
          <w:sz w:val="56"/>
          <w:szCs w:val="56"/>
          <w:lang w:val="es-AR"/>
        </w:rPr>
        <w:t>8</w:t>
      </w:r>
    </w:p>
    <w:p w14:paraId="051BCB0B" w14:textId="77777777" w:rsidR="00EF4999" w:rsidRPr="00D07100" w:rsidRDefault="00EF4999" w:rsidP="00EF4999">
      <w:pPr>
        <w:rPr>
          <w:rFonts w:ascii="Calibri" w:eastAsia="Times New Roman" w:hAnsi="Calibri" w:cs="Times New Roman"/>
          <w:spacing w:val="60"/>
          <w:sz w:val="36"/>
          <w:lang w:val="es-AR" w:eastAsia="es-PY"/>
        </w:rPr>
      </w:pPr>
    </w:p>
    <w:p w14:paraId="16492656" w14:textId="1277FD97" w:rsidR="00EF4999" w:rsidRPr="00D07100" w:rsidRDefault="00EF4999" w:rsidP="00EF4999">
      <w:pPr>
        <w:jc w:val="center"/>
        <w:rPr>
          <w:rFonts w:ascii="Calibri" w:eastAsia="Times New Roman" w:hAnsi="Calibri" w:cs="Calibri"/>
          <w:b/>
          <w:sz w:val="52"/>
          <w:szCs w:val="52"/>
          <w:shd w:val="clear" w:color="auto" w:fill="FFFF00"/>
          <w:lang w:val="es-MX" w:eastAsia="es-PY"/>
        </w:rPr>
      </w:pPr>
      <w:r w:rsidRPr="00D07100">
        <w:rPr>
          <w:rFonts w:ascii="Calibri" w:eastAsia="Times New Roman" w:hAnsi="Calibri" w:cs="Calibri"/>
          <w:b/>
          <w:sz w:val="52"/>
          <w:szCs w:val="52"/>
          <w:shd w:val="clear" w:color="auto" w:fill="FFFF00"/>
          <w:lang w:val="es-MX" w:eastAsia="es-PY"/>
        </w:rPr>
        <w:t xml:space="preserve">ID N° </w:t>
      </w:r>
      <w:r>
        <w:rPr>
          <w:rFonts w:ascii="Calibri" w:eastAsia="Times New Roman" w:hAnsi="Calibri" w:cs="Calibri"/>
          <w:b/>
          <w:sz w:val="52"/>
          <w:szCs w:val="52"/>
          <w:shd w:val="clear" w:color="auto" w:fill="FFFF00"/>
          <w:lang w:eastAsia="es-PY"/>
        </w:rPr>
        <w:t>344</w:t>
      </w:r>
      <w:r w:rsidR="001F6C1C">
        <w:rPr>
          <w:rFonts w:ascii="Calibri" w:eastAsia="Times New Roman" w:hAnsi="Calibri" w:cs="Calibri"/>
          <w:b/>
          <w:sz w:val="52"/>
          <w:szCs w:val="52"/>
          <w:shd w:val="clear" w:color="auto" w:fill="FFFF00"/>
          <w:lang w:eastAsia="es-PY"/>
        </w:rPr>
        <w:t>.</w:t>
      </w:r>
      <w:r w:rsidR="00BE0830">
        <w:rPr>
          <w:rFonts w:ascii="Calibri" w:eastAsia="Times New Roman" w:hAnsi="Calibri" w:cs="Calibri"/>
          <w:b/>
          <w:sz w:val="52"/>
          <w:szCs w:val="52"/>
          <w:shd w:val="clear" w:color="auto" w:fill="FFFF00"/>
          <w:lang w:eastAsia="es-PY"/>
        </w:rPr>
        <w:t>398</w:t>
      </w:r>
    </w:p>
    <w:p w14:paraId="1C739EA7" w14:textId="54739733" w:rsidR="00EF4999" w:rsidRPr="003D3D7E" w:rsidRDefault="00EF4999" w:rsidP="003D3D7E">
      <w:pPr>
        <w:widowControl w:val="0"/>
        <w:adjustRightInd w:val="0"/>
        <w:spacing w:before="240" w:after="240" w:line="360" w:lineRule="auto"/>
        <w:jc w:val="center"/>
        <w:textAlignment w:val="baseline"/>
        <w:outlineLvl w:val="0"/>
        <w:rPr>
          <w:rFonts w:ascii="Times New Roman" w:eastAsia="Times New Roman" w:hAnsi="Times New Roman" w:cs="Times New Roman"/>
          <w:spacing w:val="42"/>
          <w:sz w:val="56"/>
          <w:szCs w:val="56"/>
        </w:rPr>
      </w:pPr>
      <w:r w:rsidRPr="005F551C">
        <w:rPr>
          <w:rFonts w:ascii="Times New Roman" w:eastAsia="Times New Roman" w:hAnsi="Times New Roman" w:cs="Times New Roman"/>
          <w:spacing w:val="42"/>
          <w:sz w:val="56"/>
          <w:szCs w:val="56"/>
          <w:lang w:val="es-AR"/>
        </w:rPr>
        <w:t>“</w:t>
      </w:r>
      <w:r w:rsidR="00BE0830">
        <w:rPr>
          <w:rFonts w:ascii="Times New Roman" w:eastAsia="Times New Roman" w:hAnsi="Times New Roman" w:cs="Times New Roman"/>
          <w:spacing w:val="42"/>
          <w:sz w:val="60"/>
          <w:szCs w:val="60"/>
        </w:rPr>
        <w:t>ADQUISICION DE GASES Y NITROGENOS</w:t>
      </w:r>
      <w:r>
        <w:rPr>
          <w:rFonts w:ascii="Times New Roman" w:eastAsia="Times New Roman" w:hAnsi="Times New Roman" w:cs="Times New Roman"/>
          <w:spacing w:val="42"/>
          <w:sz w:val="56"/>
          <w:szCs w:val="56"/>
        </w:rPr>
        <w:t xml:space="preserve">” </w:t>
      </w:r>
      <w:r w:rsidRPr="003567F2">
        <w:rPr>
          <w:rFonts w:ascii="Times New Roman" w:eastAsia="Times New Roman" w:hAnsi="Times New Roman" w:cs="Times New Roman"/>
          <w:spacing w:val="42"/>
          <w:sz w:val="52"/>
          <w:szCs w:val="52"/>
        </w:rPr>
        <w:t xml:space="preserve">  </w:t>
      </w:r>
    </w:p>
    <w:p w14:paraId="1A9A337A" w14:textId="77777777" w:rsidR="00EF4999" w:rsidRPr="00D07100" w:rsidRDefault="00EF4999" w:rsidP="00EF4999">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DIRECCION</w:t>
      </w:r>
    </w:p>
    <w:p w14:paraId="28B59BC0" w14:textId="77777777" w:rsidR="00EF4999" w:rsidRPr="00D07100" w:rsidRDefault="00EF4999" w:rsidP="00EF4999">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DE</w:t>
      </w:r>
    </w:p>
    <w:p w14:paraId="3E34ACCA" w14:textId="5A24D2B7" w:rsidR="009A3BD0" w:rsidRPr="00C74B4B" w:rsidRDefault="00EF4999" w:rsidP="00EF4999">
      <w:pPr>
        <w:spacing w:after="0" w:line="240" w:lineRule="auto"/>
        <w:jc w:val="center"/>
        <w:rPr>
          <w:rFonts w:ascii="Arial" w:hAnsi="Arial" w:cs="Arial"/>
          <w:i/>
          <w:sz w:val="44"/>
          <w:szCs w:val="40"/>
          <w:lang w:val="es-MX"/>
        </w:rPr>
      </w:pPr>
      <w:r w:rsidRPr="00D07100">
        <w:rPr>
          <w:rFonts w:ascii="Calibri" w:eastAsia="Times New Roman" w:hAnsi="Calibri" w:cs="Times New Roman"/>
          <w:b/>
          <w:sz w:val="72"/>
          <w:szCs w:val="72"/>
          <w:lang w:val="es-AR" w:eastAsia="es-PY"/>
        </w:rPr>
        <w:t>CONTRATACIONES</w:t>
      </w: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6D02601" w14:textId="19313FA5" w:rsidR="003D6B6F" w:rsidRDefault="003D6B6F" w:rsidP="00947242">
      <w:pPr>
        <w:spacing w:after="0" w:line="240" w:lineRule="auto"/>
        <w:rPr>
          <w:rFonts w:ascii="Arial" w:hAnsi="Arial" w:cs="Arial"/>
          <w:bCs/>
          <w:sz w:val="36"/>
          <w:szCs w:val="36"/>
          <w:lang w:val="es-MX"/>
        </w:rPr>
      </w:pPr>
    </w:p>
    <w:p w14:paraId="11636301" w14:textId="77777777" w:rsidR="00EF4999" w:rsidRPr="00C74B4B" w:rsidRDefault="00EF4999"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00069440" w14:textId="6CE1FB68" w:rsidR="003D3D7E" w:rsidRDefault="00E77FE5" w:rsidP="00CC3664">
      <w:pPr>
        <w:suppressAutoHyphens/>
        <w:spacing w:after="0" w:line="100" w:lineRule="atLeast"/>
        <w:jc w:val="center"/>
        <w:rPr>
          <w:rFonts w:ascii="Arial" w:hAnsi="Arial" w:cs="Arial"/>
          <w:b/>
          <w:kern w:val="2"/>
          <w:sz w:val="40"/>
          <w:szCs w:val="36"/>
          <w:u w:val="single"/>
        </w:rPr>
      </w:pPr>
      <w:r w:rsidRPr="007258B7">
        <w:rPr>
          <w:rFonts w:ascii="Arial" w:hAnsi="Arial" w:cs="Arial"/>
          <w:bCs/>
          <w:sz w:val="24"/>
          <w:szCs w:val="36"/>
          <w:lang w:val="es-MX"/>
        </w:rPr>
        <w:t>[Aprobado por Resolución DNCP N°1510 de fecha 26 de abril de 2018]</w:t>
      </w:r>
    </w:p>
    <w:p w14:paraId="1C33B9B0" w14:textId="77777777" w:rsidR="008B5946" w:rsidRDefault="008B5946" w:rsidP="00CC3664">
      <w:pPr>
        <w:suppressAutoHyphens/>
        <w:spacing w:after="0" w:line="100" w:lineRule="atLeast"/>
        <w:jc w:val="center"/>
        <w:rPr>
          <w:rFonts w:ascii="Arial" w:hAnsi="Arial" w:cs="Arial"/>
          <w:b/>
          <w:kern w:val="2"/>
          <w:sz w:val="40"/>
          <w:szCs w:val="36"/>
          <w:u w:val="single"/>
        </w:rPr>
      </w:pPr>
    </w:p>
    <w:p w14:paraId="07675A7A" w14:textId="3476AD62" w:rsidR="008B5946" w:rsidRDefault="008B5946" w:rsidP="00CC3664">
      <w:pPr>
        <w:suppressAutoHyphens/>
        <w:spacing w:after="0" w:line="100" w:lineRule="atLeast"/>
        <w:jc w:val="center"/>
        <w:rPr>
          <w:rFonts w:ascii="Arial" w:hAnsi="Arial" w:cs="Arial"/>
          <w:b/>
          <w:kern w:val="2"/>
          <w:sz w:val="40"/>
          <w:szCs w:val="36"/>
          <w:u w:val="single"/>
        </w:rPr>
      </w:pPr>
    </w:p>
    <w:p w14:paraId="47E651F5" w14:textId="77777777" w:rsidR="00E77FE5" w:rsidRDefault="00E77FE5" w:rsidP="00CC3664">
      <w:pPr>
        <w:suppressAutoHyphens/>
        <w:spacing w:after="0" w:line="100" w:lineRule="atLeast"/>
        <w:jc w:val="center"/>
        <w:rPr>
          <w:rFonts w:ascii="Arial" w:hAnsi="Arial" w:cs="Arial"/>
          <w:b/>
          <w:kern w:val="2"/>
          <w:sz w:val="40"/>
          <w:szCs w:val="36"/>
          <w:u w:val="single"/>
        </w:rPr>
      </w:pPr>
    </w:p>
    <w:p w14:paraId="412890DE" w14:textId="6ED1C1D9"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24186FC7" w:rsidR="00AA3AA2" w:rsidRPr="00C74B4B" w:rsidRDefault="00E77FE5" w:rsidP="00AA3AA2">
      <w:pPr>
        <w:suppressAutoHyphens/>
        <w:spacing w:after="0" w:line="100" w:lineRule="atLeast"/>
        <w:jc w:val="right"/>
        <w:rPr>
          <w:rFonts w:ascii="Arial" w:hAnsi="Arial" w:cs="Arial"/>
          <w:kern w:val="2"/>
          <w:sz w:val="24"/>
        </w:rPr>
      </w:pPr>
      <w:r>
        <w:rPr>
          <w:rFonts w:ascii="Arial" w:hAnsi="Arial" w:cs="Arial"/>
          <w:kern w:val="2"/>
          <w:sz w:val="24"/>
        </w:rPr>
        <w:t>San Lorenzo 00 de junio</w:t>
      </w:r>
      <w:r w:rsidR="00EF4999">
        <w:rPr>
          <w:rFonts w:ascii="Arial" w:hAnsi="Arial" w:cs="Arial"/>
          <w:kern w:val="2"/>
          <w:sz w:val="24"/>
        </w:rPr>
        <w:t xml:space="preserve"> 2018</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7808AA2F" w14:textId="3C698BFB" w:rsidR="00AA3AA2" w:rsidRDefault="00EF4999" w:rsidP="00AA3AA2">
      <w:pPr>
        <w:suppressAutoHyphens/>
        <w:spacing w:after="0" w:line="100" w:lineRule="atLeast"/>
        <w:rPr>
          <w:rFonts w:ascii="Arial" w:hAnsi="Arial" w:cs="Arial"/>
          <w:kern w:val="2"/>
          <w:sz w:val="24"/>
        </w:rPr>
      </w:pPr>
      <w:r>
        <w:rPr>
          <w:rFonts w:ascii="Arial" w:hAnsi="Arial" w:cs="Arial"/>
          <w:kern w:val="2"/>
          <w:sz w:val="24"/>
        </w:rPr>
        <w:t>-----------------------------------------</w:t>
      </w:r>
    </w:p>
    <w:p w14:paraId="382BF234" w14:textId="77777777" w:rsidR="00EF4999" w:rsidRPr="00C74B4B" w:rsidRDefault="00EF4999"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5DC89591" w:rsidR="00AA3AA2" w:rsidRPr="00EF4999"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sidR="00EF4999">
        <w:rPr>
          <w:rFonts w:ascii="Arial" w:hAnsi="Arial" w:cs="Arial"/>
          <w:kern w:val="2"/>
          <w:sz w:val="24"/>
        </w:rPr>
        <w:t>ción Directa N° 1</w:t>
      </w:r>
      <w:r w:rsidR="00BE0830">
        <w:rPr>
          <w:rFonts w:ascii="Arial" w:hAnsi="Arial" w:cs="Arial"/>
          <w:kern w:val="2"/>
          <w:sz w:val="24"/>
        </w:rPr>
        <w:t>4 con ID N° 344.398</w:t>
      </w:r>
      <w:r w:rsidR="00EF4999">
        <w:rPr>
          <w:rFonts w:ascii="Arial" w:hAnsi="Arial" w:cs="Arial"/>
          <w:kern w:val="2"/>
          <w:sz w:val="24"/>
        </w:rPr>
        <w:t xml:space="preserve"> para la “A</w:t>
      </w:r>
      <w:r w:rsidRPr="00C74B4B">
        <w:rPr>
          <w:rFonts w:ascii="Arial" w:hAnsi="Arial" w:cs="Arial"/>
          <w:kern w:val="2"/>
          <w:sz w:val="24"/>
        </w:rPr>
        <w:t xml:space="preserve">dquisición de </w:t>
      </w:r>
      <w:r w:rsidR="00BE0830">
        <w:rPr>
          <w:rFonts w:ascii="Arial" w:hAnsi="Arial" w:cs="Arial"/>
          <w:i/>
          <w:kern w:val="2"/>
          <w:sz w:val="24"/>
        </w:rPr>
        <w:t>Gases y Nitrógenos</w:t>
      </w:r>
      <w:r w:rsidR="00EF4999">
        <w:rPr>
          <w:rFonts w:ascii="Arial" w:hAnsi="Arial" w:cs="Arial"/>
          <w:i/>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52B57918" w14:textId="79878531" w:rsidR="00AA3AA2" w:rsidRPr="00C74B4B" w:rsidRDefault="00AA3AA2" w:rsidP="00AA3AA2">
      <w:pPr>
        <w:suppressAutoHyphens/>
        <w:spacing w:after="0" w:line="100" w:lineRule="atLeast"/>
        <w:jc w:val="both"/>
        <w:rPr>
          <w:rFonts w:ascii="Arial" w:hAnsi="Arial" w:cs="Arial"/>
          <w:kern w:val="2"/>
          <w:sz w:val="24"/>
        </w:rPr>
      </w:pP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22DDF108" w:rsidR="00AA3AA2" w:rsidRPr="00EF4999" w:rsidRDefault="00EF4999" w:rsidP="00EF4999">
      <w:pPr>
        <w:suppressAutoHyphens/>
        <w:spacing w:after="0" w:line="100" w:lineRule="atLeast"/>
        <w:rPr>
          <w:rFonts w:ascii="Arial" w:hAnsi="Arial" w:cs="Arial"/>
          <w:i/>
          <w:kern w:val="2"/>
          <w:sz w:val="24"/>
        </w:rPr>
      </w:pPr>
      <w:r w:rsidRPr="00EF4999">
        <w:rPr>
          <w:rFonts w:ascii="Arial" w:hAnsi="Arial" w:cs="Arial"/>
          <w:i/>
          <w:kern w:val="2"/>
          <w:sz w:val="24"/>
        </w:rPr>
        <w:t xml:space="preserve">Los Anexos A,B,C,D; podrán ser visualizado en el Portal de Contrataciones Públicas </w:t>
      </w:r>
      <w:hyperlink r:id="rId9" w:history="1">
        <w:r w:rsidRPr="00EF4999">
          <w:rPr>
            <w:rStyle w:val="Hipervnculo"/>
            <w:rFonts w:ascii="Arial" w:hAnsi="Arial" w:cs="Arial"/>
            <w:i/>
            <w:color w:val="auto"/>
            <w:kern w:val="2"/>
            <w:sz w:val="24"/>
          </w:rPr>
          <w:t>www.dncp.gov.py</w:t>
        </w:r>
      </w:hyperlink>
      <w:r w:rsidRPr="00EF4999">
        <w:rPr>
          <w:rFonts w:ascii="Arial" w:hAnsi="Arial" w:cs="Arial"/>
          <w:i/>
          <w:kern w:val="2"/>
          <w:sz w:val="24"/>
        </w:rPr>
        <w:t xml:space="preserve"> con numero de ID N° </w:t>
      </w:r>
      <w:r w:rsidRPr="00367B84">
        <w:rPr>
          <w:rFonts w:ascii="Arial" w:hAnsi="Arial" w:cs="Arial"/>
          <w:i/>
          <w:kern w:val="2"/>
          <w:sz w:val="24"/>
          <w:highlight w:val="yellow"/>
        </w:rPr>
        <w:t>344.</w:t>
      </w:r>
      <w:r w:rsidR="00BE0830">
        <w:rPr>
          <w:rFonts w:ascii="Arial" w:hAnsi="Arial" w:cs="Arial"/>
          <w:i/>
          <w:kern w:val="2"/>
          <w:sz w:val="24"/>
          <w:highlight w:val="yellow"/>
        </w:rPr>
        <w:t>398</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EEE144" w14:textId="77777777" w:rsidR="00620F5F" w:rsidRPr="00C74B4B" w:rsidRDefault="00620F5F" w:rsidP="00620F5F">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4EEF1B98" w:rsidR="0099500D" w:rsidRPr="00C74B4B" w:rsidRDefault="00620F5F" w:rsidP="005863AC">
      <w:pPr>
        <w:spacing w:after="0" w:line="240" w:lineRule="auto"/>
        <w:rPr>
          <w:rFonts w:ascii="Arial" w:hAnsi="Arial" w:cs="Arial"/>
          <w:b/>
          <w:sz w:val="44"/>
          <w:szCs w:val="40"/>
        </w:rPr>
      </w:pPr>
      <w:r>
        <w:rPr>
          <w:rFonts w:ascii="Arial" w:hAnsi="Arial" w:cs="Arial"/>
          <w:b/>
          <w:sz w:val="44"/>
          <w:szCs w:val="40"/>
        </w:rPr>
        <w:t xml:space="preserve">                            </w:t>
      </w:r>
      <w:r>
        <w:rPr>
          <w:rFonts w:ascii="Arial" w:hAnsi="Arial" w:cs="Arial"/>
          <w:b/>
          <w:i/>
          <w:noProof/>
          <w:sz w:val="24"/>
          <w:lang w:eastAsia="es-PY"/>
        </w:rPr>
        <w:drawing>
          <wp:inline distT="0" distB="0" distL="0" distR="0" wp14:anchorId="46026ABD" wp14:editId="3D1300EA">
            <wp:extent cx="3026410" cy="1249556"/>
            <wp:effectExtent l="0" t="0" r="2540"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2059" cy="1487232"/>
                    </a:xfrm>
                    <a:prstGeom prst="rect">
                      <a:avLst/>
                    </a:prstGeom>
                    <a:noFill/>
                  </pic:spPr>
                </pic:pic>
              </a:graphicData>
            </a:graphic>
          </wp:inline>
        </w:drawing>
      </w:r>
      <w:r>
        <w:rPr>
          <w:rFonts w:ascii="Arial" w:hAnsi="Arial" w:cs="Arial"/>
          <w:b/>
          <w:sz w:val="44"/>
          <w:szCs w:val="40"/>
        </w:rPr>
        <w:t xml:space="preserve"> </w:t>
      </w: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7AFB88D" w14:textId="408104C9" w:rsidR="00AA4F4E" w:rsidRPr="00C74B4B" w:rsidRDefault="00AA4F4E" w:rsidP="003D3D7E">
      <w:pPr>
        <w:spacing w:after="0" w:line="240" w:lineRule="auto"/>
        <w:rPr>
          <w:rFonts w:ascii="Arial" w:hAnsi="Arial" w:cs="Arial"/>
          <w:b/>
          <w:sz w:val="44"/>
          <w:szCs w:val="40"/>
          <w:lang w:val="es-ES"/>
        </w:rPr>
      </w:pPr>
    </w:p>
    <w:p w14:paraId="6014CB73" w14:textId="17721CD1" w:rsidR="00AA3AA2" w:rsidRDefault="00AA3AA2" w:rsidP="007A270F">
      <w:pPr>
        <w:spacing w:after="0" w:line="240" w:lineRule="auto"/>
        <w:rPr>
          <w:rFonts w:ascii="Arial" w:hAnsi="Arial" w:cs="Arial"/>
          <w:b/>
          <w:sz w:val="44"/>
          <w:szCs w:val="40"/>
          <w:lang w:val="es-ES"/>
        </w:rPr>
      </w:pPr>
    </w:p>
    <w:p w14:paraId="0FC82EEF" w14:textId="77777777" w:rsidR="003D3D7E" w:rsidRPr="00C74B4B" w:rsidRDefault="003D3D7E"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484663DB" w14:textId="09E07C5B" w:rsidR="00830140"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0DBD4004"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04D9BC9" w14:textId="2C5E367F" w:rsidR="003D3D7E" w:rsidRDefault="003D3D7E" w:rsidP="00830140">
      <w:pPr>
        <w:pStyle w:val="Prrafodelista"/>
        <w:tabs>
          <w:tab w:val="left" w:pos="426"/>
        </w:tabs>
        <w:spacing w:before="120" w:after="120" w:line="360" w:lineRule="auto"/>
        <w:ind w:left="0"/>
        <w:contextualSpacing w:val="0"/>
        <w:jc w:val="both"/>
        <w:rPr>
          <w:rFonts w:ascii="Arial" w:hAnsi="Arial" w:cs="Arial"/>
          <w:lang w:val="es-ES"/>
        </w:rPr>
      </w:pPr>
    </w:p>
    <w:p w14:paraId="355D6A8C" w14:textId="5BCD507A" w:rsidR="003D3D7E" w:rsidRDefault="003D3D7E" w:rsidP="00830140">
      <w:pPr>
        <w:pStyle w:val="Prrafodelista"/>
        <w:tabs>
          <w:tab w:val="left" w:pos="426"/>
        </w:tabs>
        <w:spacing w:before="120" w:after="120" w:line="360" w:lineRule="auto"/>
        <w:ind w:left="0"/>
        <w:contextualSpacing w:val="0"/>
        <w:jc w:val="both"/>
        <w:rPr>
          <w:rFonts w:ascii="Arial" w:hAnsi="Arial" w:cs="Arial"/>
          <w:lang w:val="es-ES"/>
        </w:rPr>
      </w:pPr>
    </w:p>
    <w:p w14:paraId="6E954D6E" w14:textId="70C8717D" w:rsidR="003D3D7E" w:rsidRDefault="003D3D7E" w:rsidP="00830140">
      <w:pPr>
        <w:pStyle w:val="Prrafodelista"/>
        <w:tabs>
          <w:tab w:val="left" w:pos="426"/>
        </w:tabs>
        <w:spacing w:before="120" w:after="120" w:line="360" w:lineRule="auto"/>
        <w:ind w:left="0"/>
        <w:contextualSpacing w:val="0"/>
        <w:jc w:val="both"/>
        <w:rPr>
          <w:rFonts w:ascii="Arial" w:hAnsi="Arial" w:cs="Arial"/>
          <w:lang w:val="es-ES"/>
        </w:rPr>
      </w:pPr>
    </w:p>
    <w:p w14:paraId="54B6C46A" w14:textId="029A0807" w:rsidR="003D3D7E" w:rsidRDefault="003D3D7E" w:rsidP="00830140">
      <w:pPr>
        <w:pStyle w:val="Prrafodelista"/>
        <w:tabs>
          <w:tab w:val="left" w:pos="426"/>
        </w:tabs>
        <w:spacing w:before="120" w:after="120" w:line="360" w:lineRule="auto"/>
        <w:ind w:left="0"/>
        <w:contextualSpacing w:val="0"/>
        <w:jc w:val="both"/>
        <w:rPr>
          <w:rFonts w:ascii="Arial" w:hAnsi="Arial" w:cs="Arial"/>
          <w:lang w:val="es-ES"/>
        </w:rPr>
      </w:pPr>
    </w:p>
    <w:p w14:paraId="6A32AF22" w14:textId="3575AD35" w:rsidR="003D3D7E" w:rsidRDefault="003D3D7E"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1058832"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6C46AD6B" w14:textId="77777777" w:rsidR="00620F5F" w:rsidRPr="00C74B4B" w:rsidRDefault="00620F5F" w:rsidP="0057393C">
      <w:pPr>
        <w:spacing w:after="0" w:line="240" w:lineRule="auto"/>
        <w:jc w:val="center"/>
        <w:rPr>
          <w:rFonts w:ascii="Arial" w:hAnsi="Arial" w:cs="Arial"/>
          <w:b/>
          <w:sz w:val="44"/>
          <w:szCs w:val="40"/>
          <w:lang w:val="es-ES"/>
        </w:rPr>
      </w:pPr>
    </w:p>
    <w:p w14:paraId="19FFFDCE" w14:textId="77777777" w:rsidR="00620F5F" w:rsidRPr="00B429A8" w:rsidRDefault="00620F5F" w:rsidP="00620F5F">
      <w:pPr>
        <w:spacing w:after="0" w:line="360" w:lineRule="auto"/>
        <w:jc w:val="center"/>
        <w:rPr>
          <w:rFonts w:ascii="Arial" w:eastAsia="Calibri" w:hAnsi="Arial" w:cs="Arial"/>
          <w:b/>
          <w:i/>
          <w:lang w:val="es-ES"/>
        </w:rPr>
      </w:pPr>
      <w:r w:rsidRPr="00B429A8">
        <w:rPr>
          <w:rFonts w:ascii="Arial" w:eastAsia="Calibri" w:hAnsi="Arial" w:cs="Arial"/>
          <w:b/>
          <w:i/>
          <w:lang w:val="es-ES"/>
        </w:rPr>
        <w:t>Los datos de la contratación serán consignados en la presente sección y en el SICP, los mismos forman parte de los Documentos de la presente contratación.</w:t>
      </w:r>
    </w:p>
    <w:p w14:paraId="330B4E53" w14:textId="6E77D81B"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4E52416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Toda Adenda emitida por la Convocante, formará parte integral de los Documentos y será notificada por escrito a los oferentes invitados. </w:t>
      </w:r>
      <w:r w:rsidR="00367B84" w:rsidRPr="00AD2AE5">
        <w:rPr>
          <w:rFonts w:ascii="Arial" w:eastAsia="Times New Roman" w:hAnsi="Arial" w:cs="Arial"/>
          <w:lang w:val="es-ES" w:eastAsia="es-ES"/>
        </w:rPr>
        <w:t>Además, será</w:t>
      </w:r>
      <w:r w:rsidRPr="00AD2AE5">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1BB570FB"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620F5F" w:rsidRPr="00620F5F">
        <w:rPr>
          <w:rFonts w:ascii="Arial" w:hAnsi="Arial" w:cs="Arial"/>
          <w:i/>
        </w:rPr>
        <w:t>NO</w:t>
      </w:r>
    </w:p>
    <w:p w14:paraId="6EB12D44" w14:textId="596E60FA" w:rsidR="007C69E9" w:rsidRPr="00367B84"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BE0830">
        <w:rPr>
          <w:rFonts w:ascii="Arial" w:hAnsi="Arial" w:cs="Arial"/>
          <w:b/>
        </w:rPr>
        <w:t>No.</w:t>
      </w:r>
    </w:p>
    <w:p w14:paraId="68DF935D" w14:textId="087898A6" w:rsidR="004E69A3" w:rsidRPr="00620F5F"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Pr="00620F5F">
        <w:rPr>
          <w:rFonts w:ascii="Arial" w:hAnsi="Arial" w:cs="Arial"/>
        </w:rPr>
        <w:t xml:space="preserve">: </w:t>
      </w:r>
      <w:r w:rsidR="00AE240A">
        <w:rPr>
          <w:rFonts w:ascii="Arial" w:hAnsi="Arial" w:cs="Arial"/>
          <w:i/>
        </w:rPr>
        <w:t>No aplica.</w:t>
      </w:r>
    </w:p>
    <w:p w14:paraId="6425448E" w14:textId="0176E2A0" w:rsidR="004E69A3" w:rsidRPr="00620F5F"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lastRenderedPageBreak/>
        <w:t xml:space="preserve">Autorización del Fabricante, Representante o Distribuidor: </w:t>
      </w:r>
      <w:r w:rsidR="00932318">
        <w:rPr>
          <w:rFonts w:ascii="Arial" w:hAnsi="Arial" w:cs="Arial"/>
          <w:i/>
        </w:rPr>
        <w:t>SI</w:t>
      </w:r>
      <w:r w:rsidR="00367B84">
        <w:rPr>
          <w:rFonts w:ascii="Arial" w:hAnsi="Arial" w:cs="Arial"/>
          <w:i/>
        </w:rPr>
        <w:t>.</w:t>
      </w:r>
    </w:p>
    <w:p w14:paraId="5399E793" w14:textId="30C10572"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620F5F" w:rsidRPr="00620F5F">
        <w:rPr>
          <w:rFonts w:ascii="Arial" w:hAnsi="Arial" w:cs="Arial"/>
          <w:i/>
        </w:rPr>
        <w:t>será de 60 (sesenta) días calendarios.</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037FB384" w:rsidR="0018343B" w:rsidRPr="00620F5F" w:rsidRDefault="004E69A3" w:rsidP="00C656F1">
      <w:pPr>
        <w:pStyle w:val="Prrafodelista"/>
        <w:numPr>
          <w:ilvl w:val="0"/>
          <w:numId w:val="23"/>
        </w:numPr>
        <w:spacing w:after="0" w:line="360" w:lineRule="auto"/>
        <w:ind w:left="567" w:hanging="567"/>
        <w:contextualSpacing w:val="0"/>
        <w:jc w:val="both"/>
        <w:rPr>
          <w:rFonts w:ascii="Arial" w:hAnsi="Arial" w:cs="Arial"/>
        </w:rPr>
      </w:pPr>
      <w:r w:rsidRPr="00620F5F">
        <w:rPr>
          <w:rFonts w:ascii="Arial" w:hAnsi="Arial" w:cs="Arial"/>
        </w:rPr>
        <w:t xml:space="preserve">El periodo de validez de la </w:t>
      </w:r>
      <w:r w:rsidR="00570376" w:rsidRPr="00620F5F">
        <w:rPr>
          <w:rFonts w:ascii="Arial" w:hAnsi="Arial" w:cs="Arial"/>
        </w:rPr>
        <w:t>G</w:t>
      </w:r>
      <w:r w:rsidRPr="00620F5F">
        <w:rPr>
          <w:rFonts w:ascii="Arial" w:hAnsi="Arial" w:cs="Arial"/>
        </w:rPr>
        <w:t xml:space="preserve">arantía de </w:t>
      </w:r>
      <w:r w:rsidR="00570376" w:rsidRPr="00620F5F">
        <w:rPr>
          <w:rFonts w:ascii="Arial" w:hAnsi="Arial" w:cs="Arial"/>
        </w:rPr>
        <w:t>M</w:t>
      </w:r>
      <w:r w:rsidRPr="00620F5F">
        <w:rPr>
          <w:rFonts w:ascii="Arial" w:hAnsi="Arial" w:cs="Arial"/>
        </w:rPr>
        <w:t xml:space="preserve">antenimiento de </w:t>
      </w:r>
      <w:r w:rsidR="00570376" w:rsidRPr="00620F5F">
        <w:rPr>
          <w:rFonts w:ascii="Arial" w:hAnsi="Arial" w:cs="Arial"/>
        </w:rPr>
        <w:t>O</w:t>
      </w:r>
      <w:r w:rsidRPr="00620F5F">
        <w:rPr>
          <w:rFonts w:ascii="Arial" w:hAnsi="Arial" w:cs="Arial"/>
        </w:rPr>
        <w:t>fertas</w:t>
      </w:r>
      <w:r w:rsidR="00E86E64" w:rsidRPr="00620F5F">
        <w:rPr>
          <w:rFonts w:ascii="Arial" w:hAnsi="Arial" w:cs="Arial"/>
        </w:rPr>
        <w:t xml:space="preserve">, </w:t>
      </w:r>
      <w:r w:rsidR="004903D7" w:rsidRPr="00620F5F">
        <w:rPr>
          <w:rFonts w:ascii="Arial" w:hAnsi="Arial" w:cs="Arial"/>
        </w:rPr>
        <w:t>contado desde</w:t>
      </w:r>
      <w:r w:rsidR="00E86E64" w:rsidRPr="00620F5F">
        <w:rPr>
          <w:rFonts w:ascii="Arial" w:hAnsi="Arial" w:cs="Arial"/>
        </w:rPr>
        <w:t xml:space="preserve"> la fecha y hora límite de presentación de ofertas,</w:t>
      </w:r>
      <w:r w:rsidRPr="00620F5F">
        <w:rPr>
          <w:rFonts w:ascii="Arial" w:hAnsi="Arial" w:cs="Arial"/>
        </w:rPr>
        <w:t xml:space="preserve"> deberá ser: </w:t>
      </w:r>
      <w:r w:rsidR="00620F5F">
        <w:rPr>
          <w:rFonts w:ascii="Arial" w:hAnsi="Arial" w:cs="Arial"/>
        </w:rPr>
        <w:t xml:space="preserve">90 (noventa) días </w:t>
      </w:r>
      <w:r w:rsidR="004903D7">
        <w:rPr>
          <w:rFonts w:ascii="Arial" w:hAnsi="Arial" w:cs="Arial"/>
        </w:rPr>
        <w:t>calendarios.</w:t>
      </w: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42AF94A0"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Se aplicarán las disposiciones establecidas en los artículos 56, 57, 58, 59, 60, 61 y </w:t>
      </w:r>
      <w:r w:rsidR="001F6C1C" w:rsidRPr="00AD2AE5">
        <w:rPr>
          <w:rFonts w:ascii="Arial" w:hAnsi="Arial" w:cs="Arial"/>
          <w:kern w:val="2"/>
        </w:rPr>
        <w:t>64 del</w:t>
      </w:r>
      <w:r w:rsidRPr="00AD2AE5">
        <w:rPr>
          <w:rFonts w:ascii="Arial" w:hAnsi="Arial" w:cs="Arial"/>
          <w:kern w:val="2"/>
        </w:rPr>
        <w:t xml:space="preserve">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095B3C68"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w:t>
      </w:r>
      <w:r w:rsidR="001F6C1C" w:rsidRPr="00213C2F">
        <w:rPr>
          <w:rFonts w:ascii="Arial" w:hAnsi="Arial" w:cs="Arial"/>
          <w:b/>
        </w:rPr>
        <w:t>los siguientes</w:t>
      </w:r>
      <w:r w:rsidRPr="00213C2F">
        <w:rPr>
          <w:rFonts w:ascii="Arial" w:hAnsi="Arial" w:cs="Arial"/>
          <w:b/>
        </w:rPr>
        <w:t xml:space="preserve">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lastRenderedPageBreak/>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w:t>
      </w:r>
      <w:r w:rsidRPr="007A60C9">
        <w:rPr>
          <w:rFonts w:ascii="Arial" w:hAnsi="Arial" w:cs="Arial"/>
        </w:rPr>
        <w:lastRenderedPageBreak/>
        <w:t xml:space="preserve">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2A988DA5" w14:textId="77777777" w:rsidR="004903D7" w:rsidRPr="00F42064" w:rsidRDefault="004903D7" w:rsidP="004903D7">
      <w:pPr>
        <w:pStyle w:val="Prrafodelista"/>
        <w:spacing w:after="0" w:line="240" w:lineRule="auto"/>
        <w:ind w:left="993"/>
        <w:jc w:val="both"/>
        <w:rPr>
          <w:rFonts w:ascii="Arial" w:hAnsi="Arial" w:cs="Arial"/>
          <w:i/>
        </w:rPr>
      </w:pPr>
      <w:r w:rsidRPr="00F42064">
        <w:rPr>
          <w:rFonts w:ascii="Arial" w:hAnsi="Arial" w:cs="Arial"/>
          <w:i/>
        </w:rPr>
        <w:t>a.   Ratio de Liquidez: activo corriente / pasivo corriente</w:t>
      </w:r>
    </w:p>
    <w:p w14:paraId="397EABF6" w14:textId="17B62499" w:rsidR="004903D7" w:rsidRPr="00F42064" w:rsidRDefault="004903D7" w:rsidP="004903D7">
      <w:pPr>
        <w:pStyle w:val="Prrafodelista"/>
        <w:spacing w:after="0" w:line="240" w:lineRule="auto"/>
        <w:ind w:left="993"/>
        <w:jc w:val="both"/>
        <w:rPr>
          <w:rFonts w:ascii="Arial" w:hAnsi="Arial" w:cs="Arial"/>
          <w:b/>
          <w:i/>
        </w:rPr>
      </w:pPr>
      <w:r w:rsidRPr="00F42064">
        <w:rPr>
          <w:rFonts w:ascii="Arial" w:hAnsi="Arial" w:cs="Arial"/>
          <w:b/>
          <w:i/>
        </w:rPr>
        <w:t>Deberá ser igual o mayor que 1, en promedio, en los 3 últimos años (201</w:t>
      </w:r>
      <w:r w:rsidR="00824F75">
        <w:rPr>
          <w:rFonts w:ascii="Arial" w:hAnsi="Arial" w:cs="Arial"/>
          <w:b/>
          <w:i/>
        </w:rPr>
        <w:t>5</w:t>
      </w:r>
      <w:r w:rsidRPr="00F42064">
        <w:rPr>
          <w:rFonts w:ascii="Arial" w:hAnsi="Arial" w:cs="Arial"/>
          <w:b/>
          <w:i/>
        </w:rPr>
        <w:t>, 201</w:t>
      </w:r>
      <w:r w:rsidR="003B48EA">
        <w:rPr>
          <w:rFonts w:ascii="Arial" w:hAnsi="Arial" w:cs="Arial"/>
          <w:b/>
          <w:i/>
        </w:rPr>
        <w:t>6</w:t>
      </w:r>
      <w:r w:rsidRPr="00F42064">
        <w:rPr>
          <w:rFonts w:ascii="Arial" w:hAnsi="Arial" w:cs="Arial"/>
          <w:b/>
          <w:i/>
        </w:rPr>
        <w:t>, 201</w:t>
      </w:r>
      <w:r w:rsidR="003B48EA">
        <w:rPr>
          <w:rFonts w:ascii="Arial" w:hAnsi="Arial" w:cs="Arial"/>
          <w:b/>
          <w:i/>
        </w:rPr>
        <w:t>7</w:t>
      </w:r>
      <w:r w:rsidRPr="00F42064">
        <w:rPr>
          <w:rFonts w:ascii="Arial" w:hAnsi="Arial" w:cs="Arial"/>
          <w:b/>
          <w:i/>
        </w:rPr>
        <w:t>)</w:t>
      </w:r>
      <w:bookmarkStart w:id="0" w:name="_GoBack"/>
      <w:bookmarkEnd w:id="0"/>
    </w:p>
    <w:p w14:paraId="4B97DEF9" w14:textId="77777777" w:rsidR="004903D7" w:rsidRPr="00F42064" w:rsidRDefault="004903D7" w:rsidP="004903D7">
      <w:pPr>
        <w:pStyle w:val="Prrafodelista"/>
        <w:spacing w:after="0" w:line="240" w:lineRule="auto"/>
        <w:ind w:left="993"/>
        <w:jc w:val="both"/>
        <w:rPr>
          <w:rFonts w:ascii="Arial" w:hAnsi="Arial" w:cs="Arial"/>
          <w:i/>
        </w:rPr>
      </w:pPr>
      <w:r w:rsidRPr="00F42064">
        <w:rPr>
          <w:rFonts w:ascii="Arial" w:hAnsi="Arial" w:cs="Arial"/>
          <w:i/>
        </w:rPr>
        <w:t>b.   Endeudamiento: pasivo total / activo total</w:t>
      </w:r>
    </w:p>
    <w:p w14:paraId="1C51D1CC" w14:textId="652CE9A3" w:rsidR="004903D7" w:rsidRPr="00F42064" w:rsidRDefault="004903D7" w:rsidP="004903D7">
      <w:pPr>
        <w:pStyle w:val="Prrafodelista"/>
        <w:spacing w:after="0" w:line="240" w:lineRule="auto"/>
        <w:ind w:left="993"/>
        <w:jc w:val="both"/>
        <w:rPr>
          <w:rFonts w:ascii="Arial" w:hAnsi="Arial" w:cs="Arial"/>
          <w:b/>
          <w:i/>
        </w:rPr>
      </w:pPr>
      <w:r w:rsidRPr="00F42064">
        <w:rPr>
          <w:rFonts w:ascii="Arial" w:hAnsi="Arial" w:cs="Arial"/>
          <w:b/>
          <w:i/>
        </w:rPr>
        <w:t>No deberá ser mayor a 0,80 en promedio, en los 3 últimos años (</w:t>
      </w:r>
      <w:r w:rsidR="008B5946" w:rsidRPr="00F42064">
        <w:rPr>
          <w:rFonts w:ascii="Arial" w:hAnsi="Arial" w:cs="Arial"/>
          <w:b/>
          <w:i/>
        </w:rPr>
        <w:t>201</w:t>
      </w:r>
      <w:r w:rsidR="003B48EA">
        <w:rPr>
          <w:rFonts w:ascii="Arial" w:hAnsi="Arial" w:cs="Arial"/>
          <w:b/>
          <w:i/>
        </w:rPr>
        <w:t>5</w:t>
      </w:r>
      <w:r w:rsidR="008B5946" w:rsidRPr="00F42064">
        <w:rPr>
          <w:rFonts w:ascii="Arial" w:hAnsi="Arial" w:cs="Arial"/>
          <w:b/>
          <w:i/>
        </w:rPr>
        <w:t>, 201</w:t>
      </w:r>
      <w:r w:rsidR="003B48EA">
        <w:rPr>
          <w:rFonts w:ascii="Arial" w:hAnsi="Arial" w:cs="Arial"/>
          <w:b/>
          <w:i/>
        </w:rPr>
        <w:t>6</w:t>
      </w:r>
      <w:r w:rsidR="008B5946" w:rsidRPr="00F42064">
        <w:rPr>
          <w:rFonts w:ascii="Arial" w:hAnsi="Arial" w:cs="Arial"/>
          <w:b/>
          <w:i/>
        </w:rPr>
        <w:t>, 201</w:t>
      </w:r>
      <w:r w:rsidR="003B48EA">
        <w:rPr>
          <w:rFonts w:ascii="Arial" w:hAnsi="Arial" w:cs="Arial"/>
          <w:b/>
          <w:i/>
        </w:rPr>
        <w:t>7</w:t>
      </w:r>
      <w:r w:rsidRPr="00F42064">
        <w:rPr>
          <w:rFonts w:ascii="Arial" w:hAnsi="Arial" w:cs="Arial"/>
          <w:b/>
          <w:i/>
        </w:rPr>
        <w:t>)</w:t>
      </w:r>
    </w:p>
    <w:p w14:paraId="09EA42B3" w14:textId="77777777" w:rsidR="004903D7" w:rsidRPr="00F42064" w:rsidRDefault="004903D7" w:rsidP="004903D7">
      <w:pPr>
        <w:pStyle w:val="Prrafodelista"/>
        <w:spacing w:after="0" w:line="240" w:lineRule="auto"/>
        <w:ind w:left="993"/>
        <w:jc w:val="both"/>
        <w:rPr>
          <w:rFonts w:ascii="Arial" w:hAnsi="Arial" w:cs="Arial"/>
          <w:i/>
        </w:rPr>
      </w:pPr>
      <w:r w:rsidRPr="00F42064">
        <w:rPr>
          <w:rFonts w:ascii="Arial" w:hAnsi="Arial" w:cs="Arial"/>
          <w:i/>
        </w:rPr>
        <w:t>c. Rentabilidad: Porcentaje de utilidad después de impuestos o pérdida con respecto al Capital</w:t>
      </w:r>
    </w:p>
    <w:p w14:paraId="7B0D7A5B" w14:textId="2215807B" w:rsidR="004903D7" w:rsidRPr="00F42064" w:rsidRDefault="004903D7" w:rsidP="004903D7">
      <w:pPr>
        <w:pStyle w:val="Prrafodelista"/>
        <w:spacing w:after="0" w:line="240" w:lineRule="auto"/>
        <w:ind w:left="993"/>
        <w:jc w:val="both"/>
        <w:rPr>
          <w:rFonts w:ascii="Arial" w:hAnsi="Arial" w:cs="Arial"/>
          <w:b/>
          <w:i/>
        </w:rPr>
      </w:pPr>
      <w:r w:rsidRPr="00F42064">
        <w:rPr>
          <w:rFonts w:ascii="Arial" w:hAnsi="Arial" w:cs="Arial"/>
          <w:b/>
          <w:i/>
        </w:rPr>
        <w:t>El promedio en los últimos 3 años, no deberá ser negativo (</w:t>
      </w:r>
      <w:r w:rsidR="008B5946" w:rsidRPr="00F42064">
        <w:rPr>
          <w:rFonts w:ascii="Arial" w:hAnsi="Arial" w:cs="Arial"/>
          <w:b/>
          <w:i/>
        </w:rPr>
        <w:t>201</w:t>
      </w:r>
      <w:r w:rsidR="003B48EA">
        <w:rPr>
          <w:rFonts w:ascii="Arial" w:hAnsi="Arial" w:cs="Arial"/>
          <w:b/>
          <w:i/>
        </w:rPr>
        <w:t>5</w:t>
      </w:r>
      <w:r w:rsidR="008B5946" w:rsidRPr="00F42064">
        <w:rPr>
          <w:rFonts w:ascii="Arial" w:hAnsi="Arial" w:cs="Arial"/>
          <w:b/>
          <w:i/>
        </w:rPr>
        <w:t>, 201</w:t>
      </w:r>
      <w:r w:rsidR="003B48EA">
        <w:rPr>
          <w:rFonts w:ascii="Arial" w:hAnsi="Arial" w:cs="Arial"/>
          <w:b/>
          <w:i/>
        </w:rPr>
        <w:t>6</w:t>
      </w:r>
      <w:r w:rsidR="008B5946" w:rsidRPr="00F42064">
        <w:rPr>
          <w:rFonts w:ascii="Arial" w:hAnsi="Arial" w:cs="Arial"/>
          <w:b/>
          <w:i/>
        </w:rPr>
        <w:t>, 201</w:t>
      </w:r>
      <w:r w:rsidR="003B48EA">
        <w:rPr>
          <w:rFonts w:ascii="Arial" w:hAnsi="Arial" w:cs="Arial"/>
          <w:b/>
          <w:i/>
        </w:rPr>
        <w:t>7</w:t>
      </w:r>
      <w:r w:rsidRPr="00F42064">
        <w:rPr>
          <w:rFonts w:ascii="Arial" w:hAnsi="Arial" w:cs="Arial"/>
          <w:b/>
          <w:i/>
        </w:rPr>
        <w:t>).</w:t>
      </w:r>
    </w:p>
    <w:p w14:paraId="25308F83" w14:textId="01C6C3B4" w:rsidR="004903D7" w:rsidRPr="004903D7" w:rsidRDefault="004903D7" w:rsidP="004903D7">
      <w:pPr>
        <w:spacing w:after="0" w:line="360" w:lineRule="auto"/>
        <w:jc w:val="both"/>
        <w:rPr>
          <w:rFonts w:ascii="Arial" w:hAnsi="Arial" w:cs="Arial"/>
          <w:i/>
          <w:color w:val="FF0000"/>
        </w:rPr>
      </w:pPr>
    </w:p>
    <w:p w14:paraId="3E1D7723" w14:textId="70DCE3F0"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0B705129" w14:textId="48D59DF3" w:rsidR="004B187B" w:rsidRPr="004903D7" w:rsidRDefault="004903D7" w:rsidP="00830140">
      <w:pPr>
        <w:pStyle w:val="Prrafodelista"/>
        <w:spacing w:after="0" w:line="360" w:lineRule="auto"/>
        <w:ind w:left="993"/>
        <w:jc w:val="both"/>
        <w:rPr>
          <w:rFonts w:ascii="Arial" w:hAnsi="Arial" w:cs="Arial"/>
          <w:i/>
        </w:rPr>
      </w:pPr>
      <w:r w:rsidRPr="004903D7">
        <w:rPr>
          <w:rFonts w:ascii="Arial" w:hAnsi="Arial" w:cs="Arial"/>
          <w:i/>
        </w:rPr>
        <w:t>NO APLICA.</w:t>
      </w:r>
    </w:p>
    <w:p w14:paraId="12DAC0DE" w14:textId="5D33C43F"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2610B084" w14:textId="77777777" w:rsidR="004903D7" w:rsidRDefault="004903D7" w:rsidP="004903D7">
      <w:pPr>
        <w:widowControl w:val="0"/>
        <w:numPr>
          <w:ilvl w:val="0"/>
          <w:numId w:val="4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rPr>
        <w:t>Existencia Legal de por lo menos tres (3) años de antigüedad, comprobada con la presentación de una copia autenticada de los estatutos sociales o extracto de los mismos, en el que indique: nombre o razón social, tipo de sociedad, fecha de constitución, domicilio, objeto, duración y capital.  En el caso de firmas unipersonales, se deberá presentar fotocopia autenticada de la Constancia de Inscripción</w:t>
      </w:r>
      <w:r>
        <w:rPr>
          <w:rFonts w:ascii="Arial" w:hAnsi="Arial" w:cs="Arial"/>
          <w:i/>
          <w:iCs/>
          <w:color w:val="000000"/>
        </w:rPr>
        <w:t xml:space="preserve"> </w:t>
      </w:r>
      <w:r w:rsidRPr="00F210A2">
        <w:rPr>
          <w:rFonts w:ascii="Arial" w:hAnsi="Arial" w:cs="Arial"/>
          <w:i/>
          <w:iCs/>
          <w:color w:val="000000"/>
        </w:rPr>
        <w:t>en el registro único de contribuyentes – RUC,</w:t>
      </w:r>
      <w:r>
        <w:rPr>
          <w:rFonts w:ascii="Arial" w:hAnsi="Arial" w:cs="Arial"/>
          <w:i/>
          <w:iCs/>
          <w:color w:val="000000"/>
        </w:rPr>
        <w:t xml:space="preserve"> </w:t>
      </w:r>
      <w:r w:rsidRPr="00F210A2">
        <w:rPr>
          <w:rFonts w:ascii="Arial" w:hAnsi="Arial" w:cs="Arial"/>
          <w:i/>
          <w:iCs/>
          <w:color w:val="000000"/>
        </w:rPr>
        <w:t>que justifique la antigüedad requerida</w:t>
      </w:r>
      <w:r w:rsidRPr="00F210A2">
        <w:rPr>
          <w:rFonts w:ascii="Arial" w:hAnsi="Arial" w:cs="Arial"/>
          <w:i/>
          <w:iCs/>
          <w:color w:val="000000"/>
          <w:lang w:val="es-ES"/>
        </w:rPr>
        <w:t>.</w:t>
      </w:r>
    </w:p>
    <w:p w14:paraId="69507312" w14:textId="0659F099" w:rsidR="004903D7" w:rsidRDefault="004903D7" w:rsidP="004903D7">
      <w:pPr>
        <w:widowControl w:val="0"/>
        <w:numPr>
          <w:ilvl w:val="0"/>
          <w:numId w:val="4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lang w:val="es-ES"/>
        </w:rPr>
        <w:t>Contratos ejecutados y/o facturaciones</w:t>
      </w:r>
      <w:r>
        <w:rPr>
          <w:rFonts w:ascii="Arial" w:hAnsi="Arial" w:cs="Arial"/>
          <w:i/>
          <w:iCs/>
          <w:color w:val="000000"/>
          <w:lang w:val="es-ES"/>
        </w:rPr>
        <w:t xml:space="preserve"> en la</w:t>
      </w:r>
      <w:r w:rsidRPr="00F210A2">
        <w:rPr>
          <w:rFonts w:ascii="Arial" w:hAnsi="Arial" w:cs="Arial"/>
          <w:i/>
          <w:iCs/>
          <w:color w:val="000000"/>
          <w:lang w:val="es-ES"/>
        </w:rPr>
        <w:t xml:space="preserve"> </w:t>
      </w:r>
      <w:r w:rsidRPr="00004E17">
        <w:rPr>
          <w:rFonts w:ascii="Arial" w:hAnsi="Arial" w:cs="Arial"/>
          <w:i/>
          <w:iCs/>
          <w:color w:val="000000"/>
          <w:lang w:val="es-ES"/>
        </w:rPr>
        <w:t>prov</w:t>
      </w:r>
      <w:r w:rsidR="00367B84">
        <w:rPr>
          <w:rFonts w:ascii="Arial" w:hAnsi="Arial" w:cs="Arial"/>
          <w:i/>
          <w:iCs/>
          <w:color w:val="000000"/>
          <w:lang w:val="es-ES"/>
        </w:rPr>
        <w:t>i</w:t>
      </w:r>
      <w:r w:rsidR="00AE240A">
        <w:rPr>
          <w:rFonts w:ascii="Arial" w:hAnsi="Arial" w:cs="Arial"/>
          <w:i/>
          <w:iCs/>
          <w:color w:val="000000"/>
          <w:lang w:val="es-ES"/>
        </w:rPr>
        <w:t xml:space="preserve">sión de Adquisición de Gases y </w:t>
      </w:r>
      <w:r w:rsidR="0002614D">
        <w:rPr>
          <w:rFonts w:ascii="Arial" w:hAnsi="Arial" w:cs="Arial"/>
          <w:i/>
          <w:iCs/>
          <w:color w:val="000000"/>
          <w:lang w:val="es-ES"/>
        </w:rPr>
        <w:t>Nitrógenos</w:t>
      </w:r>
      <w:r w:rsidRPr="00F210A2">
        <w:rPr>
          <w:rFonts w:ascii="Arial" w:hAnsi="Arial" w:cs="Arial"/>
          <w:i/>
          <w:iCs/>
          <w:color w:val="000000"/>
          <w:lang w:val="es-ES"/>
        </w:rPr>
        <w:t xml:space="preserve">, </w:t>
      </w:r>
      <w:r w:rsidRPr="00F210A2">
        <w:rPr>
          <w:rFonts w:ascii="Arial" w:hAnsi="Arial" w:cs="Arial"/>
          <w:b/>
          <w:i/>
          <w:iCs/>
          <w:color w:val="000000"/>
          <w:lang w:val="es-ES"/>
        </w:rPr>
        <w:t>acompañado de las documentaciones expedidas por la contratante que acredite un desempeño satisfactorio</w:t>
      </w:r>
      <w:r w:rsidRPr="00F210A2">
        <w:rPr>
          <w:rFonts w:ascii="Arial" w:hAnsi="Arial" w:cs="Arial"/>
          <w:i/>
          <w:iCs/>
          <w:color w:val="000000"/>
          <w:lang w:val="es-ES"/>
        </w:rPr>
        <w:t>, cuya sumatoria de los tres últimos años (201</w:t>
      </w:r>
      <w:r>
        <w:rPr>
          <w:rFonts w:ascii="Arial" w:hAnsi="Arial" w:cs="Arial"/>
          <w:i/>
          <w:iCs/>
          <w:color w:val="000000"/>
          <w:lang w:val="es-ES"/>
        </w:rPr>
        <w:t>5</w:t>
      </w:r>
      <w:r w:rsidRPr="00F210A2">
        <w:rPr>
          <w:rFonts w:ascii="Arial" w:hAnsi="Arial" w:cs="Arial"/>
          <w:i/>
          <w:iCs/>
          <w:color w:val="000000"/>
          <w:lang w:val="es-ES"/>
        </w:rPr>
        <w:t>, 201</w:t>
      </w:r>
      <w:r>
        <w:rPr>
          <w:rFonts w:ascii="Arial" w:hAnsi="Arial" w:cs="Arial"/>
          <w:i/>
          <w:iCs/>
          <w:color w:val="000000"/>
          <w:lang w:val="es-ES"/>
        </w:rPr>
        <w:t>6</w:t>
      </w:r>
      <w:r w:rsidRPr="00F210A2">
        <w:rPr>
          <w:rFonts w:ascii="Arial" w:hAnsi="Arial" w:cs="Arial"/>
          <w:i/>
          <w:iCs/>
          <w:color w:val="000000"/>
          <w:lang w:val="es-ES"/>
        </w:rPr>
        <w:t xml:space="preserve"> y 201</w:t>
      </w:r>
      <w:r>
        <w:rPr>
          <w:rFonts w:ascii="Arial" w:hAnsi="Arial" w:cs="Arial"/>
          <w:i/>
          <w:iCs/>
          <w:color w:val="000000"/>
          <w:lang w:val="es-ES"/>
        </w:rPr>
        <w:t>7</w:t>
      </w:r>
      <w:r w:rsidRPr="00F210A2">
        <w:rPr>
          <w:rFonts w:ascii="Arial" w:hAnsi="Arial" w:cs="Arial"/>
          <w:i/>
          <w:iCs/>
          <w:color w:val="000000"/>
          <w:lang w:val="es-ES"/>
        </w:rPr>
        <w:t>) deberá ser como mínimo el 50 % (cincuenta por ciento) de</w:t>
      </w:r>
      <w:r>
        <w:rPr>
          <w:rFonts w:ascii="Arial" w:hAnsi="Arial" w:cs="Arial"/>
          <w:i/>
          <w:iCs/>
          <w:color w:val="000000"/>
          <w:lang w:val="es-ES"/>
        </w:rPr>
        <w:t>l monto ofertado en la presente contratación</w:t>
      </w:r>
      <w:r w:rsidRPr="00F210A2">
        <w:rPr>
          <w:rFonts w:ascii="Arial" w:hAnsi="Arial" w:cs="Arial"/>
          <w:i/>
          <w:iCs/>
          <w:color w:val="000000"/>
          <w:lang w:val="es-ES"/>
        </w:rPr>
        <w:t>, los mismos podrán ser de entidades públicas y/o privadas</w:t>
      </w:r>
      <w:r w:rsidRPr="00F210A2">
        <w:rPr>
          <w:rFonts w:ascii="Arial" w:hAnsi="Arial" w:cs="Arial"/>
          <w:i/>
        </w:rPr>
        <w:t>.</w:t>
      </w:r>
      <w:r w:rsidRPr="00F210A2">
        <w:rPr>
          <w:rFonts w:ascii="Arial" w:hAnsi="Arial" w:cs="Arial"/>
          <w:i/>
          <w:iCs/>
          <w:color w:val="000000"/>
          <w:lang w:val="es-ES"/>
        </w:rPr>
        <w:t xml:space="preserve"> </w:t>
      </w:r>
      <w:r>
        <w:rPr>
          <w:rFonts w:ascii="Arial" w:hAnsi="Arial" w:cs="Arial"/>
          <w:i/>
          <w:iCs/>
          <w:color w:val="000000"/>
          <w:lang w:val="es-ES"/>
        </w:rPr>
        <w:t>–</w:t>
      </w:r>
    </w:p>
    <w:p w14:paraId="4E5B5F71" w14:textId="77777777" w:rsidR="004903D7" w:rsidRPr="009C0C46" w:rsidRDefault="004903D7" w:rsidP="004903D7">
      <w:pPr>
        <w:pStyle w:val="Prrafodelista"/>
        <w:numPr>
          <w:ilvl w:val="0"/>
          <w:numId w:val="48"/>
        </w:numPr>
        <w:ind w:left="1134"/>
        <w:jc w:val="both"/>
        <w:rPr>
          <w:rFonts w:ascii="Arial" w:hAnsi="Arial" w:cs="Arial"/>
          <w:i/>
          <w:iCs/>
          <w:color w:val="000000"/>
          <w:lang w:val="es-ES"/>
        </w:rPr>
      </w:pPr>
      <w:r w:rsidRPr="009C0C46">
        <w:rPr>
          <w:rFonts w:ascii="Arial" w:hAnsi="Arial" w:cs="Arial"/>
          <w:i/>
          <w:iCs/>
          <w:color w:val="000000"/>
          <w:lang w:val="es-ES"/>
        </w:rPr>
        <w:t xml:space="preserve">El equipo ofertado debe cumplir a cabalidad con todos los requerimientos en cuanto a especificaciones técnicas establecidas en </w:t>
      </w:r>
      <w:r>
        <w:rPr>
          <w:rFonts w:ascii="Arial" w:hAnsi="Arial" w:cs="Arial"/>
          <w:i/>
          <w:iCs/>
          <w:color w:val="000000"/>
          <w:lang w:val="es-ES"/>
        </w:rPr>
        <w:t>la presente Carta de Invitación</w:t>
      </w:r>
      <w:r w:rsidRPr="009C0C46">
        <w:rPr>
          <w:rFonts w:ascii="Arial" w:hAnsi="Arial" w:cs="Arial"/>
          <w:i/>
          <w:iCs/>
          <w:color w:val="000000"/>
          <w:lang w:val="es-ES"/>
        </w:rPr>
        <w:t>.</w:t>
      </w:r>
    </w:p>
    <w:p w14:paraId="22694D17" w14:textId="77777777" w:rsidR="004903D7" w:rsidRPr="002C6367" w:rsidRDefault="004903D7" w:rsidP="004903D7">
      <w:pPr>
        <w:autoSpaceDE w:val="0"/>
        <w:autoSpaceDN w:val="0"/>
        <w:spacing w:line="240" w:lineRule="auto"/>
        <w:jc w:val="both"/>
        <w:rPr>
          <w:rFonts w:ascii="Arial" w:hAnsi="Arial" w:cs="Arial"/>
          <w:lang w:val="es-ES"/>
        </w:rPr>
      </w:pPr>
      <w:r w:rsidRPr="002C6367">
        <w:rPr>
          <w:rFonts w:ascii="Arial" w:hAnsi="Arial" w:cs="Arial"/>
          <w:iCs/>
        </w:rPr>
        <w:t xml:space="preserve">Para corroborar el cumplimiento de las especificaciones técnicas </w:t>
      </w:r>
      <w:r>
        <w:rPr>
          <w:rFonts w:ascii="Arial" w:hAnsi="Arial" w:cs="Arial"/>
          <w:iCs/>
        </w:rPr>
        <w:t>del</w:t>
      </w:r>
      <w:r w:rsidRPr="002C6367">
        <w:rPr>
          <w:rFonts w:ascii="Arial" w:hAnsi="Arial" w:cs="Arial"/>
          <w:iCs/>
        </w:rPr>
        <w:t xml:space="preserve"> bien ofertado, así como la capacidad del oferente de dar cabal y fiel cumplimiento a los compromisos contractuales, el oferente deberá presentar toda y cada una de las documentaciones solicitadas en </w:t>
      </w:r>
      <w:r>
        <w:rPr>
          <w:rFonts w:ascii="Arial" w:hAnsi="Arial" w:cs="Arial"/>
          <w:iCs/>
        </w:rPr>
        <w:t>el Anexo E</w:t>
      </w:r>
      <w:r w:rsidRPr="002C6367">
        <w:rPr>
          <w:rFonts w:ascii="Arial" w:hAnsi="Arial" w:cs="Arial"/>
          <w:iCs/>
        </w:rPr>
        <w:t>, la misma deberá estar completamente suscriptas. La no presentación de las documentaciones de carácter sustancial será motivo de descalificación.</w:t>
      </w:r>
    </w:p>
    <w:p w14:paraId="3CBF396E" w14:textId="77777777" w:rsidR="004903D7" w:rsidRPr="00F210A2" w:rsidRDefault="004903D7" w:rsidP="004903D7">
      <w:pPr>
        <w:widowControl w:val="0"/>
        <w:adjustRightInd w:val="0"/>
        <w:spacing w:after="0" w:line="240" w:lineRule="auto"/>
        <w:jc w:val="both"/>
        <w:textAlignment w:val="baseline"/>
        <w:rPr>
          <w:rFonts w:ascii="Arial" w:hAnsi="Arial" w:cs="Arial"/>
          <w:i/>
          <w:iCs/>
          <w:color w:val="000000"/>
          <w:lang w:val="es-ES"/>
        </w:rPr>
      </w:pPr>
      <w:r w:rsidRPr="002C6367">
        <w:rPr>
          <w:rFonts w:ascii="Arial" w:hAnsi="Arial" w:cs="Arial"/>
          <w:iCs/>
        </w:rPr>
        <w:lastRenderedPageBreak/>
        <w:t xml:space="preserve">Los demás documentos pueden ser solicitados por el Comité de Evaluación y la no presentación en tiempo y forma de lo requerido </w:t>
      </w:r>
      <w:r>
        <w:rPr>
          <w:rFonts w:ascii="Arial" w:hAnsi="Arial" w:cs="Arial"/>
          <w:iCs/>
        </w:rPr>
        <w:t>será motivo de descalificación.</w:t>
      </w:r>
    </w:p>
    <w:p w14:paraId="0F0B1525" w14:textId="77777777" w:rsidR="004903D7" w:rsidRPr="00F210A2" w:rsidRDefault="004903D7" w:rsidP="004903D7">
      <w:pPr>
        <w:widowControl w:val="0"/>
        <w:adjustRightInd w:val="0"/>
        <w:spacing w:after="0" w:line="240" w:lineRule="auto"/>
        <w:ind w:left="1134"/>
        <w:jc w:val="both"/>
        <w:textAlignment w:val="baseline"/>
        <w:rPr>
          <w:rFonts w:ascii="Arial" w:hAnsi="Arial" w:cs="Arial"/>
          <w:i/>
          <w:iCs/>
          <w:color w:val="000000"/>
          <w:lang w:val="es-ES"/>
        </w:rPr>
      </w:pPr>
    </w:p>
    <w:p w14:paraId="3736DA4C" w14:textId="77777777" w:rsidR="004903D7" w:rsidRPr="00AD2AE5" w:rsidRDefault="004903D7" w:rsidP="008B5946">
      <w:pPr>
        <w:pStyle w:val="Prrafodelista"/>
        <w:spacing w:after="0" w:line="240" w:lineRule="auto"/>
        <w:ind w:left="426"/>
        <w:jc w:val="both"/>
        <w:rPr>
          <w:rFonts w:ascii="Arial" w:hAnsi="Arial" w:cs="Arial"/>
          <w:i/>
          <w:color w:val="FF0000"/>
        </w:rPr>
      </w:pPr>
      <w:r w:rsidRPr="00EF6978">
        <w:rPr>
          <w:rFonts w:ascii="Arial" w:hAnsi="Arial" w:cs="Arial"/>
          <w:i/>
        </w:rPr>
        <w:t xml:space="preserve">Estos requisitos se acreditan con la documentación indicada en el </w:t>
      </w:r>
      <w:r w:rsidRPr="00EF6978">
        <w:rPr>
          <w:rFonts w:ascii="Arial" w:hAnsi="Arial" w:cs="Arial"/>
          <w:b/>
          <w:i/>
        </w:rPr>
        <w:t>Anexo E</w:t>
      </w:r>
      <w:r w:rsidRPr="00EF6978">
        <w:rPr>
          <w:rFonts w:ascii="Arial" w:hAnsi="Arial" w:cs="Arial"/>
          <w:i/>
        </w:rPr>
        <w:t>;</w:t>
      </w:r>
    </w:p>
    <w:p w14:paraId="4E6175BE" w14:textId="77777777" w:rsidR="004903D7" w:rsidRDefault="004903D7" w:rsidP="008B5946">
      <w:pPr>
        <w:pStyle w:val="Prrafodelista"/>
        <w:spacing w:after="0" w:line="240" w:lineRule="auto"/>
        <w:ind w:left="426"/>
        <w:jc w:val="both"/>
        <w:rPr>
          <w:rFonts w:ascii="Arial" w:hAnsi="Arial" w:cs="Arial"/>
          <w:b/>
          <w:i/>
          <w:u w:val="single"/>
        </w:rPr>
      </w:pPr>
    </w:p>
    <w:p w14:paraId="0BEED597" w14:textId="77777777" w:rsidR="004903D7" w:rsidRDefault="004903D7" w:rsidP="008B5946">
      <w:pPr>
        <w:pStyle w:val="Prrafodelista"/>
        <w:spacing w:after="0" w:line="240" w:lineRule="auto"/>
        <w:ind w:left="426"/>
        <w:jc w:val="both"/>
        <w:rPr>
          <w:rFonts w:ascii="Arial" w:hAnsi="Arial" w:cs="Arial"/>
          <w:b/>
          <w:i/>
          <w:u w:val="single"/>
        </w:rPr>
      </w:pPr>
      <w:r w:rsidRPr="00E01C43">
        <w:rPr>
          <w:rFonts w:ascii="Arial" w:hAnsi="Arial" w:cs="Arial"/>
          <w:b/>
          <w:i/>
          <w:u w:val="single"/>
        </w:rPr>
        <w:t>Criterios de evaluación en caso de consorcios:</w:t>
      </w:r>
    </w:p>
    <w:p w14:paraId="02B46000" w14:textId="77777777" w:rsidR="008B5946" w:rsidRPr="00F210A2" w:rsidRDefault="008B5946" w:rsidP="008B5946">
      <w:pPr>
        <w:pStyle w:val="Prrafodelista"/>
        <w:spacing w:after="0" w:line="240" w:lineRule="auto"/>
        <w:ind w:left="426"/>
        <w:jc w:val="both"/>
        <w:rPr>
          <w:rFonts w:ascii="Arial" w:hAnsi="Arial" w:cs="Arial"/>
          <w:b/>
          <w:i/>
          <w:u w:val="single"/>
        </w:rPr>
      </w:pPr>
    </w:p>
    <w:p w14:paraId="6484B3FB" w14:textId="77777777" w:rsidR="004903D7" w:rsidRPr="00F210A2" w:rsidRDefault="004903D7" w:rsidP="008B5946">
      <w:pPr>
        <w:pStyle w:val="Prrafodelista"/>
        <w:spacing w:after="0" w:line="240" w:lineRule="auto"/>
        <w:ind w:left="426"/>
        <w:jc w:val="both"/>
        <w:rPr>
          <w:rFonts w:ascii="Arial" w:hAnsi="Arial" w:cs="Arial"/>
          <w:i/>
        </w:rPr>
      </w:pPr>
      <w:r w:rsidRPr="00F210A2">
        <w:rPr>
          <w:rFonts w:ascii="Arial" w:hAnsi="Arial" w:cs="Arial"/>
          <w:i/>
        </w:rPr>
        <w:t xml:space="preserve">En caso de Consorcios, se analizarán en conjunto los siguientes puntos: </w:t>
      </w:r>
    </w:p>
    <w:p w14:paraId="51F991E1" w14:textId="77777777" w:rsidR="004903D7" w:rsidRPr="00F210A2" w:rsidRDefault="004903D7" w:rsidP="008B5946">
      <w:pPr>
        <w:pStyle w:val="Prrafodelista"/>
        <w:spacing w:after="0" w:line="240" w:lineRule="auto"/>
        <w:ind w:left="426"/>
        <w:jc w:val="both"/>
        <w:rPr>
          <w:rFonts w:ascii="Arial" w:hAnsi="Arial" w:cs="Arial"/>
          <w:i/>
        </w:rPr>
      </w:pPr>
      <w:r w:rsidRPr="00F210A2">
        <w:rPr>
          <w:rFonts w:ascii="Arial" w:hAnsi="Arial" w:cs="Arial"/>
          <w:i/>
        </w:rPr>
        <w:t xml:space="preserve">Todos los integrantes del consorcio deberán cumplir los requisitos legales de Carácter sustancial en su totalidad. </w:t>
      </w:r>
    </w:p>
    <w:p w14:paraId="6E5E3B94" w14:textId="77777777" w:rsidR="004903D7" w:rsidRPr="00F210A2" w:rsidRDefault="004903D7" w:rsidP="008B5946">
      <w:pPr>
        <w:pStyle w:val="Prrafodelista"/>
        <w:spacing w:after="0" w:line="240" w:lineRule="auto"/>
        <w:ind w:left="426"/>
        <w:jc w:val="both"/>
        <w:rPr>
          <w:rFonts w:ascii="Arial" w:hAnsi="Arial" w:cs="Arial"/>
          <w:i/>
        </w:rPr>
      </w:pPr>
      <w:r w:rsidRPr="00F210A2">
        <w:rPr>
          <w:rFonts w:ascii="Arial" w:hAnsi="Arial" w:cs="Arial"/>
          <w:i/>
        </w:rPr>
        <w:t xml:space="preserve">Todos los integrantes del consorcio deberán cumplir íntegramente los requisitos establecidos en lo que respecta a la Capacidad Financiera. </w:t>
      </w:r>
    </w:p>
    <w:p w14:paraId="30208A9D" w14:textId="77777777" w:rsidR="004903D7" w:rsidRDefault="004903D7" w:rsidP="008B5946">
      <w:pPr>
        <w:pStyle w:val="Prrafodelista"/>
        <w:spacing w:after="0" w:line="240" w:lineRule="auto"/>
        <w:ind w:left="426"/>
        <w:jc w:val="both"/>
        <w:rPr>
          <w:rFonts w:ascii="Arial" w:hAnsi="Arial" w:cs="Arial"/>
          <w:i/>
        </w:rPr>
      </w:pPr>
      <w:r w:rsidRPr="00F210A2">
        <w:rPr>
          <w:rFonts w:ascii="Arial" w:hAnsi="Arial" w:cs="Arial"/>
          <w:i/>
        </w:rPr>
        <w:t>En cuanto a la Experiencia, se deberá Indicar en la oferta cual es el líder del consorcio quien deberá cumplir con al menos el 60% de los criterios de calificación, y el 40% restante lo cumplirán el o los demás integrantes del consorcio.</w:t>
      </w:r>
    </w:p>
    <w:p w14:paraId="6B726799" w14:textId="77777777" w:rsidR="004903D7" w:rsidRDefault="004903D7" w:rsidP="008B5946">
      <w:pPr>
        <w:pStyle w:val="Prrafodelista"/>
        <w:spacing w:after="0" w:line="240" w:lineRule="auto"/>
        <w:ind w:left="426"/>
        <w:jc w:val="both"/>
        <w:rPr>
          <w:rFonts w:ascii="Arial" w:hAnsi="Arial" w:cs="Arial"/>
          <w:i/>
        </w:rPr>
      </w:pPr>
      <w:r w:rsidRPr="00547D0B">
        <w:rPr>
          <w:rFonts w:ascii="Arial" w:hAnsi="Arial" w:cs="Arial"/>
          <w:i/>
        </w:rPr>
        <w:t>La Convocante a través de su Comité de Evaluación se reserva el derecho de solicitar los documentos formales que sean necesarios y de solicitar aclaraciones a los oferentes, la solicitud se realizará por nota escrita, correo electrónico y/o vía fax.</w:t>
      </w:r>
    </w:p>
    <w:p w14:paraId="6B3D612E" w14:textId="77777777" w:rsidR="004903D7" w:rsidRPr="00AD2AE5" w:rsidRDefault="004903D7" w:rsidP="00830140">
      <w:pPr>
        <w:pStyle w:val="Prrafodelista"/>
        <w:spacing w:after="0" w:line="360" w:lineRule="auto"/>
        <w:ind w:left="993"/>
        <w:jc w:val="both"/>
        <w:rPr>
          <w:rFonts w:ascii="Arial" w:hAnsi="Arial" w:cs="Arial"/>
          <w:i/>
        </w:rPr>
      </w:pP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6AEA612B"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8B5946">
        <w:rPr>
          <w:rFonts w:ascii="Arial" w:hAnsi="Arial" w:cs="Arial"/>
        </w:rPr>
        <w:t>1 (un)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lastRenderedPageBreak/>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2D193CB5" w14:textId="3843E7A0" w:rsidR="00E5581E" w:rsidRPr="00680B2C" w:rsidRDefault="004E69A3" w:rsidP="00680B2C">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w:t>
      </w:r>
      <w:r w:rsidR="00070E64">
        <w:rPr>
          <w:rFonts w:ascii="Arial" w:hAnsi="Arial" w:cs="Arial"/>
        </w:rPr>
        <w:t xml:space="preserve">y calificación de las muestras: </w:t>
      </w:r>
      <w:r w:rsidR="00680B2C">
        <w:rPr>
          <w:rFonts w:ascii="Arial" w:hAnsi="Arial" w:cs="Arial"/>
        </w:rPr>
        <w:t>No Aplica.</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4B4FF1C1"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 xml:space="preserve">El que posea el mayor monto de contratos ejecutados en provisión de bienes de la misma naturaleza, satisfactoriamente con Instituciones Públicas o </w:t>
      </w:r>
      <w:r w:rsidR="001F6C1C" w:rsidRPr="00AD2AE5">
        <w:rPr>
          <w:rFonts w:ascii="Arial" w:hAnsi="Arial" w:cs="Arial"/>
          <w:szCs w:val="20"/>
        </w:rPr>
        <w:t>Privadas, en</w:t>
      </w:r>
      <w:r w:rsidR="00B00B28" w:rsidRPr="00AD2AE5">
        <w:rPr>
          <w:rFonts w:ascii="Arial" w:hAnsi="Arial" w:cs="Arial"/>
          <w:szCs w:val="20"/>
        </w:rPr>
        <w:t xml:space="preserve"> el último año.</w:t>
      </w: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7B721A73" w14:textId="162341C6" w:rsidR="004903D7" w:rsidRPr="004903D7" w:rsidRDefault="004E69A3" w:rsidP="004903D7">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w:t>
      </w:r>
      <w:r w:rsidR="004903D7" w:rsidRPr="00AD2AE5">
        <w:rPr>
          <w:rFonts w:ascii="Arial" w:hAnsi="Arial" w:cs="Arial"/>
        </w:rPr>
        <w:t>conocer:</w:t>
      </w:r>
      <w:r w:rsidR="004903D7">
        <w:rPr>
          <w:rFonts w:ascii="Arial" w:hAnsi="Arial" w:cs="Arial"/>
        </w:rPr>
        <w:t xml:space="preserve"> </w:t>
      </w:r>
      <w:r w:rsidR="004903D7" w:rsidRPr="004903D7">
        <w:rPr>
          <w:rFonts w:ascii="Arial" w:hAnsi="Arial" w:cs="Arial"/>
        </w:rPr>
        <w:t xml:space="preserve">La adjudicación se dará a conocer </w:t>
      </w:r>
      <w:r w:rsidR="004903D7" w:rsidRPr="004903D7">
        <w:rPr>
          <w:rFonts w:ascii="Arial" w:hAnsi="Arial" w:cs="Arial"/>
          <w:i/>
        </w:rPr>
        <w:t xml:space="preserve">por nota escrita, correo electrónico y/o vía fax a todo el oferente, </w:t>
      </w:r>
      <w:r w:rsidR="004903D7" w:rsidRPr="004903D7">
        <w:rPr>
          <w:rFonts w:ascii="Arial" w:hAnsi="Arial" w:cs="Arial"/>
          <w:i/>
        </w:rPr>
        <w:lastRenderedPageBreak/>
        <w:t>dentro del plazo de cinco (5) días calendarios posteriores a la emisión de la resolución de adjudicación.</w:t>
      </w:r>
    </w:p>
    <w:p w14:paraId="54C8A1F4" w14:textId="3938A4DA" w:rsidR="003C0B8F" w:rsidRPr="00AD2AE5"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4903D7" w:rsidRPr="004903D7">
        <w:rPr>
          <w:rFonts w:ascii="Arial" w:hAnsi="Arial" w:cs="Arial"/>
          <w:i/>
        </w:rPr>
        <w:t>Contrato.</w:t>
      </w:r>
    </w:p>
    <w:p w14:paraId="344B8F39" w14:textId="77777777" w:rsidR="004903D7" w:rsidRPr="004903D7" w:rsidRDefault="003C0B8F" w:rsidP="004903D7">
      <w:pPr>
        <w:pStyle w:val="Prrafodelista"/>
        <w:numPr>
          <w:ilvl w:val="0"/>
          <w:numId w:val="23"/>
        </w:numPr>
        <w:tabs>
          <w:tab w:val="left" w:pos="851"/>
        </w:tabs>
        <w:spacing w:before="240" w:after="240" w:line="360" w:lineRule="auto"/>
        <w:ind w:left="284" w:hanging="284"/>
        <w:contextualSpacing w:val="0"/>
        <w:jc w:val="both"/>
        <w:rPr>
          <w:rFonts w:ascii="Arial" w:hAnsi="Arial" w:cs="Arial"/>
          <w:b/>
          <w:i/>
        </w:rPr>
      </w:pPr>
      <w:r w:rsidRPr="00AD2AE5">
        <w:rPr>
          <w:rFonts w:ascii="Arial" w:hAnsi="Arial" w:cs="Arial"/>
        </w:rPr>
        <w:t>El precio adjudicado estará sujeto a reajustes. La fórmula y procedimiento para el cálculo de reajustes serán los siguientes</w:t>
      </w:r>
      <w:r w:rsidR="004903D7">
        <w:rPr>
          <w:rFonts w:ascii="Arial" w:hAnsi="Arial" w:cs="Arial"/>
        </w:rPr>
        <w:t xml:space="preserve">: </w:t>
      </w:r>
      <w:r w:rsidR="004903D7" w:rsidRPr="004903D7">
        <w:rPr>
          <w:rFonts w:ascii="Arial" w:hAnsi="Arial" w:cs="Arial"/>
        </w:rPr>
        <w:t>La fórmula y procedimiento para el cálculo de reajustes serán los siguientes:</w:t>
      </w:r>
      <w:r w:rsidR="004903D7" w:rsidRPr="004903D7">
        <w:rPr>
          <w:rFonts w:ascii="Arial" w:hAnsi="Arial" w:cs="Arial"/>
          <w:i/>
          <w:lang w:val="es-AR"/>
        </w:rPr>
        <w:t xml:space="preserve"> El precio será reajustable. </w:t>
      </w:r>
      <w:r w:rsidR="004903D7" w:rsidRPr="004903D7">
        <w:rPr>
          <w:rFonts w:ascii="Arial" w:hAnsi="Arial" w:cs="Arial"/>
          <w:i/>
        </w:rPr>
        <w:t xml:space="preserve">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 Los precios reajustados, solo tendrán incidencia sobre los bienes aún no proveídos; y, no tendrán ningún efecto retroactivo respecto a los ya fueron proveídos antes de la verificación del reajuste. </w:t>
      </w:r>
    </w:p>
    <w:p w14:paraId="51C25081" w14:textId="77777777" w:rsidR="004903D7" w:rsidRPr="004903D7" w:rsidRDefault="004903D7" w:rsidP="004903D7">
      <w:pPr>
        <w:pStyle w:val="Prrafodelista"/>
        <w:spacing w:line="360" w:lineRule="auto"/>
        <w:ind w:left="284"/>
        <w:jc w:val="both"/>
        <w:rPr>
          <w:rFonts w:ascii="Arial" w:hAnsi="Arial" w:cs="Arial"/>
          <w:i/>
        </w:rPr>
      </w:pPr>
      <w:r w:rsidRPr="004903D7">
        <w:rPr>
          <w:rFonts w:ascii="Arial" w:hAnsi="Arial" w:cs="Arial"/>
          <w:i/>
        </w:rPr>
        <w:t xml:space="preserve">El reajuste de precios se realizará conforme con la siguiente fórmula: </w:t>
      </w:r>
    </w:p>
    <w:p w14:paraId="269733B1" w14:textId="77777777" w:rsidR="004903D7" w:rsidRPr="004903D7" w:rsidRDefault="004903D7" w:rsidP="004903D7">
      <w:pPr>
        <w:pStyle w:val="Prrafodelista"/>
        <w:spacing w:line="360" w:lineRule="auto"/>
        <w:ind w:left="284"/>
        <w:jc w:val="both"/>
        <w:rPr>
          <w:rFonts w:ascii="Arial" w:hAnsi="Arial" w:cs="Arial"/>
          <w:i/>
        </w:rPr>
      </w:pPr>
      <w:r w:rsidRPr="004903D7">
        <w:rPr>
          <w:rFonts w:ascii="Arial" w:hAnsi="Arial" w:cs="Arial"/>
          <w:i/>
        </w:rPr>
        <w:t>Pr = Po + Po (</w:t>
      </w:r>
      <w:proofErr w:type="spellStart"/>
      <w:r w:rsidRPr="004903D7">
        <w:rPr>
          <w:rFonts w:ascii="Arial" w:hAnsi="Arial" w:cs="Arial"/>
          <w:i/>
        </w:rPr>
        <w:t>Nr</w:t>
      </w:r>
      <w:proofErr w:type="spellEnd"/>
      <w:r w:rsidRPr="004903D7">
        <w:rPr>
          <w:rFonts w:ascii="Arial" w:hAnsi="Arial" w:cs="Arial"/>
          <w:i/>
        </w:rPr>
        <w:t xml:space="preserve"> - Ne)</w:t>
      </w:r>
    </w:p>
    <w:p w14:paraId="11A6C414" w14:textId="77777777" w:rsidR="004903D7" w:rsidRPr="004903D7" w:rsidRDefault="004903D7" w:rsidP="004903D7">
      <w:pPr>
        <w:pStyle w:val="Prrafodelista"/>
        <w:spacing w:line="360" w:lineRule="auto"/>
        <w:ind w:left="284"/>
        <w:jc w:val="both"/>
        <w:rPr>
          <w:rFonts w:ascii="Arial" w:hAnsi="Arial" w:cs="Arial"/>
          <w:i/>
        </w:rPr>
      </w:pPr>
      <w:r w:rsidRPr="004903D7">
        <w:rPr>
          <w:rFonts w:ascii="Arial" w:hAnsi="Arial" w:cs="Arial"/>
          <w:i/>
        </w:rPr>
        <w:t xml:space="preserve">En donde: </w:t>
      </w:r>
    </w:p>
    <w:p w14:paraId="45BCDE46" w14:textId="77777777" w:rsidR="004903D7" w:rsidRPr="004903D7" w:rsidRDefault="004903D7" w:rsidP="004903D7">
      <w:pPr>
        <w:pStyle w:val="Prrafodelista"/>
        <w:spacing w:before="240" w:after="240" w:line="360" w:lineRule="auto"/>
        <w:ind w:left="284"/>
        <w:jc w:val="both"/>
        <w:rPr>
          <w:rFonts w:ascii="Arial" w:hAnsi="Arial" w:cs="Arial"/>
          <w:i/>
        </w:rPr>
      </w:pPr>
      <w:r w:rsidRPr="004903D7">
        <w:rPr>
          <w:rFonts w:ascii="Arial" w:hAnsi="Arial" w:cs="Arial"/>
          <w:i/>
        </w:rPr>
        <w:t xml:space="preserve">Pr = Precio Reajustable </w:t>
      </w:r>
    </w:p>
    <w:p w14:paraId="79A8074E" w14:textId="77777777" w:rsidR="004903D7" w:rsidRPr="004903D7" w:rsidRDefault="004903D7" w:rsidP="004903D7">
      <w:pPr>
        <w:pStyle w:val="Prrafodelista"/>
        <w:spacing w:before="240" w:after="240" w:line="360" w:lineRule="auto"/>
        <w:ind w:left="284"/>
        <w:jc w:val="both"/>
        <w:rPr>
          <w:rFonts w:ascii="Arial" w:hAnsi="Arial" w:cs="Arial"/>
          <w:i/>
        </w:rPr>
      </w:pPr>
      <w:r w:rsidRPr="004903D7">
        <w:rPr>
          <w:rFonts w:ascii="Arial" w:hAnsi="Arial" w:cs="Arial"/>
          <w:i/>
        </w:rPr>
        <w:t xml:space="preserve">Po = Precio Inicial o Precio Adjudicado </w:t>
      </w:r>
    </w:p>
    <w:p w14:paraId="3E2D4069" w14:textId="77777777" w:rsidR="004903D7" w:rsidRPr="004903D7" w:rsidRDefault="004903D7" w:rsidP="004903D7">
      <w:pPr>
        <w:pStyle w:val="Prrafodelista"/>
        <w:spacing w:before="240" w:after="240" w:line="360" w:lineRule="auto"/>
        <w:ind w:left="284"/>
        <w:jc w:val="both"/>
        <w:rPr>
          <w:rFonts w:ascii="Arial" w:hAnsi="Arial" w:cs="Arial"/>
          <w:i/>
        </w:rPr>
      </w:pPr>
      <w:proofErr w:type="spellStart"/>
      <w:r w:rsidRPr="004903D7">
        <w:rPr>
          <w:rFonts w:ascii="Arial" w:hAnsi="Arial" w:cs="Arial"/>
          <w:i/>
        </w:rPr>
        <w:t>Nr</w:t>
      </w:r>
      <w:proofErr w:type="spellEnd"/>
      <w:r w:rsidRPr="004903D7">
        <w:rPr>
          <w:rFonts w:ascii="Arial" w:hAnsi="Arial" w:cs="Arial"/>
          <w:i/>
        </w:rPr>
        <w:t xml:space="preserve"> = Índice de Precios de Consumo, correspondiente al mes de la entrega del suministro. </w:t>
      </w:r>
    </w:p>
    <w:p w14:paraId="690CC665" w14:textId="77777777" w:rsidR="004903D7" w:rsidRPr="004903D7" w:rsidRDefault="004903D7" w:rsidP="004903D7">
      <w:pPr>
        <w:pStyle w:val="Prrafodelista"/>
        <w:spacing w:before="240" w:after="240" w:line="360" w:lineRule="auto"/>
        <w:ind w:left="284"/>
        <w:jc w:val="both"/>
        <w:rPr>
          <w:rFonts w:ascii="Arial" w:hAnsi="Arial" w:cs="Arial"/>
          <w:i/>
        </w:rPr>
      </w:pPr>
      <w:r w:rsidRPr="004903D7">
        <w:rPr>
          <w:rFonts w:ascii="Arial" w:hAnsi="Arial" w:cs="Arial"/>
          <w:i/>
        </w:rPr>
        <w:t>Ne = Índice de Precios de Consumo, correspondiente al mes de la Apertura de Ofertas</w:t>
      </w:r>
    </w:p>
    <w:p w14:paraId="2A24111F" w14:textId="77777777" w:rsidR="004903D7" w:rsidRPr="004903D7" w:rsidRDefault="004903D7" w:rsidP="00C51961">
      <w:pPr>
        <w:pStyle w:val="Prrafodelista"/>
        <w:spacing w:before="240" w:after="240" w:line="360" w:lineRule="auto"/>
        <w:ind w:left="284"/>
        <w:jc w:val="both"/>
        <w:rPr>
          <w:rFonts w:ascii="Arial" w:hAnsi="Arial" w:cs="Arial"/>
          <w:i/>
        </w:rPr>
      </w:pPr>
      <w:r w:rsidRPr="004903D7">
        <w:rPr>
          <w:rFonts w:ascii="Arial" w:hAnsi="Arial" w:cs="Arial"/>
          <w:i/>
        </w:rPr>
        <w:t>No se reconocerán reajuste de precios si el suministro se encuentra atrasado respecto al plan de entrega establecido en la Carta de Invitación.</w:t>
      </w:r>
    </w:p>
    <w:p w14:paraId="1B954E90" w14:textId="3DD16BEB" w:rsidR="004903D7" w:rsidRPr="00C51961" w:rsidRDefault="004903D7" w:rsidP="00C51961">
      <w:pPr>
        <w:pStyle w:val="Prrafodelista"/>
        <w:spacing w:before="240" w:after="240" w:line="360" w:lineRule="auto"/>
        <w:ind w:left="284"/>
        <w:rPr>
          <w:rFonts w:ascii="Arial" w:hAnsi="Arial" w:cs="Arial"/>
          <w:i/>
        </w:rPr>
      </w:pPr>
      <w:r w:rsidRPr="004903D7">
        <w:rPr>
          <w:rFonts w:ascii="Arial" w:hAnsi="Arial" w:cs="Arial"/>
          <w:i/>
        </w:rPr>
        <w:t>El PROVEEDOR, solicitará por escrito a la CONVOCANTE el reajuste de precio exponiendo la causa del mismo.</w:t>
      </w:r>
    </w:p>
    <w:p w14:paraId="40D5DF47" w14:textId="7E855447" w:rsidR="00A13093" w:rsidRPr="00A13093" w:rsidRDefault="00A13093"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w:t>
      </w:r>
      <w:r w:rsidR="00C51961">
        <w:rPr>
          <w:rFonts w:ascii="Arial" w:hAnsi="Arial" w:cs="Arial"/>
          <w:spacing w:val="-3"/>
          <w:lang w:val="es-ES_tradnl"/>
        </w:rPr>
        <w:t>no la subcontratación: NO.</w:t>
      </w:r>
    </w:p>
    <w:p w14:paraId="70853B45" w14:textId="77777777" w:rsidR="00C51961" w:rsidRPr="00C51961" w:rsidRDefault="003C0B8F" w:rsidP="00C51961">
      <w:pPr>
        <w:pStyle w:val="Prrafodelista"/>
        <w:numPr>
          <w:ilvl w:val="0"/>
          <w:numId w:val="23"/>
        </w:numPr>
        <w:spacing w:before="240" w:after="240" w:line="360" w:lineRule="auto"/>
        <w:ind w:left="284" w:hanging="284"/>
        <w:contextualSpacing w:val="0"/>
        <w:jc w:val="both"/>
        <w:rPr>
          <w:rFonts w:ascii="Arial" w:hAnsi="Arial" w:cs="Arial"/>
          <w:i/>
        </w:rPr>
      </w:pPr>
      <w:r w:rsidRPr="00AD2AE5">
        <w:rPr>
          <w:rFonts w:ascii="Arial" w:hAnsi="Arial" w:cs="Arial"/>
        </w:rPr>
        <w:t>Las condiciones de pago:</w:t>
      </w:r>
      <w:r w:rsidR="004C62A9" w:rsidRPr="00AD2AE5">
        <w:rPr>
          <w:rFonts w:ascii="Arial" w:hAnsi="Arial" w:cs="Arial"/>
        </w:rPr>
        <w:t xml:space="preserve"> </w:t>
      </w:r>
      <w:r w:rsidR="00C51961" w:rsidRPr="00C51961">
        <w:rPr>
          <w:rFonts w:ascii="Arial" w:hAnsi="Arial" w:cs="Arial"/>
          <w:i/>
          <w:lang w:val="es-MX"/>
        </w:rPr>
        <w:t xml:space="preserve">El </w:t>
      </w:r>
      <w:r w:rsidR="00C51961" w:rsidRPr="00C51961">
        <w:rPr>
          <w:rFonts w:ascii="Arial" w:hAnsi="Arial" w:cs="Arial"/>
          <w:b/>
          <w:i/>
          <w:lang w:val="es-MX"/>
        </w:rPr>
        <w:t>SENACSA</w:t>
      </w:r>
      <w:r w:rsidR="00C51961" w:rsidRPr="00C51961">
        <w:rPr>
          <w:rFonts w:ascii="Arial" w:hAnsi="Arial" w:cs="Arial"/>
          <w:i/>
          <w:lang w:val="es-MX"/>
        </w:rPr>
        <w:t xml:space="preserve"> pagará al OFERENTE en guaraníes, deducidos los impuestos correspondientes. -</w:t>
      </w:r>
    </w:p>
    <w:p w14:paraId="423FCA78" w14:textId="77777777" w:rsidR="00C51961" w:rsidRPr="00C51961" w:rsidRDefault="00C51961" w:rsidP="00C51961">
      <w:pPr>
        <w:pStyle w:val="Prrafodelista"/>
        <w:spacing w:before="240" w:after="240" w:line="360" w:lineRule="auto"/>
        <w:ind w:left="284"/>
        <w:rPr>
          <w:rFonts w:ascii="Arial" w:hAnsi="Arial" w:cs="Arial"/>
          <w:i/>
          <w:lang w:val="es-MX"/>
        </w:rPr>
      </w:pPr>
      <w:r w:rsidRPr="00C51961">
        <w:rPr>
          <w:rFonts w:ascii="Arial" w:hAnsi="Arial" w:cs="Arial"/>
          <w:i/>
          <w:lang w:val="es-MX"/>
        </w:rPr>
        <w:t xml:space="preserve">Todo suministro </w:t>
      </w:r>
      <w:proofErr w:type="spellStart"/>
      <w:r w:rsidRPr="00C51961">
        <w:rPr>
          <w:rFonts w:ascii="Arial" w:hAnsi="Arial" w:cs="Arial"/>
          <w:i/>
          <w:lang w:val="es-MX"/>
        </w:rPr>
        <w:t>recepcionado</w:t>
      </w:r>
      <w:proofErr w:type="spellEnd"/>
      <w:r w:rsidRPr="00C51961">
        <w:rPr>
          <w:rFonts w:ascii="Arial" w:hAnsi="Arial" w:cs="Arial"/>
          <w:i/>
          <w:lang w:val="es-MX"/>
        </w:rPr>
        <w:t>, será pagado con fondos previstos en el Presupuesto General de la Nación correspondiente al Ejercicio 2018, previa presentación de la factura y del Informe de Recepción, en base a los bienes entregados, de conformidad al Plan Financiero y a los Recursos transferidos por la Comisión Interinstitucional en cuenta.</w:t>
      </w:r>
    </w:p>
    <w:p w14:paraId="24472680" w14:textId="77777777" w:rsidR="00C51961" w:rsidRPr="00C51961" w:rsidRDefault="00C51961" w:rsidP="00C51961">
      <w:pPr>
        <w:pStyle w:val="Prrafodelista"/>
        <w:spacing w:before="240" w:after="240" w:line="360" w:lineRule="auto"/>
        <w:ind w:left="284"/>
        <w:rPr>
          <w:rFonts w:ascii="Arial" w:hAnsi="Arial" w:cs="Arial"/>
          <w:i/>
          <w:lang w:val="es-MX"/>
        </w:rPr>
      </w:pPr>
      <w:r w:rsidRPr="00C51961">
        <w:rPr>
          <w:rFonts w:ascii="Arial" w:hAnsi="Arial" w:cs="Arial"/>
          <w:i/>
          <w:lang w:val="es-MX"/>
        </w:rPr>
        <w:lastRenderedPageBreak/>
        <w:t>Los pagos se realizarán en forma directa al oferente dentro de los 60 (sesenta) días posteriores a la presentación de su Factura Crédito, luego de haberse recibido los bienes a satisfacción de la contratante.</w:t>
      </w:r>
    </w:p>
    <w:p w14:paraId="589CCC39" w14:textId="77777777" w:rsidR="00C51961" w:rsidRDefault="00C51961" w:rsidP="00C51961">
      <w:pPr>
        <w:pStyle w:val="Prrafodelista"/>
        <w:spacing w:before="240" w:after="240" w:line="360" w:lineRule="auto"/>
        <w:ind w:left="284"/>
        <w:rPr>
          <w:rFonts w:ascii="Arial" w:hAnsi="Arial" w:cs="Arial"/>
          <w:i/>
          <w:lang w:val="es-MX"/>
        </w:rPr>
      </w:pPr>
      <w:r w:rsidRPr="00C51961">
        <w:rPr>
          <w:rFonts w:ascii="Arial" w:hAnsi="Arial" w:cs="Arial"/>
          <w:i/>
          <w:lang w:val="es-MX"/>
        </w:rPr>
        <w:t xml:space="preserve">Del monto total facturado, serán pasibles las retenciones correspondientes al impuesto a la renta y al Impuesto al Valor agregado, según lo establecido por las disposiciones legales de la República del Paraguay. Asimismo, independientemente de estas retenciones impositivas, se </w:t>
      </w:r>
      <w:proofErr w:type="gramStart"/>
      <w:r w:rsidRPr="00C51961">
        <w:rPr>
          <w:rFonts w:ascii="Arial" w:hAnsi="Arial" w:cs="Arial"/>
          <w:i/>
          <w:lang w:val="es-MX"/>
        </w:rPr>
        <w:t>aplicaran</w:t>
      </w:r>
      <w:proofErr w:type="gramEnd"/>
      <w:r w:rsidRPr="00C51961">
        <w:rPr>
          <w:rFonts w:ascii="Arial" w:hAnsi="Arial" w:cs="Arial"/>
          <w:i/>
          <w:lang w:val="es-MX"/>
        </w:rPr>
        <w:t xml:space="preserve"> una Retención equivalente al 0.4 % sobre el monto de las facturas pagadas, deducidos los impuestos reflejados en las mismas, en concepto de “Contribución” de conformidad a lo dispuesto por el Art. 1º de la Ley 3439/07 que modifica al Art. 41 de la Ley 2051/03 “De Contrataciones Públicas” y reglamentado por el Decreto N° 21909/03.-</w:t>
      </w:r>
    </w:p>
    <w:p w14:paraId="3C3AAF1D" w14:textId="77777777" w:rsidR="00E5581E" w:rsidRPr="00C51961" w:rsidRDefault="00E5581E" w:rsidP="00C51961">
      <w:pPr>
        <w:pStyle w:val="Prrafodelista"/>
        <w:spacing w:before="240" w:after="240" w:line="360" w:lineRule="auto"/>
        <w:ind w:left="284"/>
        <w:rPr>
          <w:rFonts w:ascii="Arial" w:hAnsi="Arial" w:cs="Arial"/>
        </w:rPr>
      </w:pPr>
    </w:p>
    <w:p w14:paraId="3C3C626F" w14:textId="44DC128F"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C51961" w:rsidRPr="00C51961">
        <w:rPr>
          <w:rFonts w:ascii="Arial" w:hAnsi="Arial" w:cs="Arial"/>
          <w:i/>
        </w:rPr>
        <w:t>0,1</w:t>
      </w:r>
      <w:r w:rsidRPr="00C51961">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6B583915" w:rsidR="003C0B8F" w:rsidRPr="00AD2AE5" w:rsidRDefault="003C0B8F" w:rsidP="00C51961">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C51961">
        <w:rPr>
          <w:rFonts w:ascii="Arial" w:hAnsi="Arial" w:cs="Arial"/>
        </w:rPr>
        <w:t>NO</w:t>
      </w:r>
    </w:p>
    <w:p w14:paraId="73A88D7F" w14:textId="0C8BDABE" w:rsidR="00446BEE" w:rsidRPr="00C51961" w:rsidRDefault="003C0B8F" w:rsidP="00C51961">
      <w:pPr>
        <w:pStyle w:val="Prrafodelista"/>
        <w:numPr>
          <w:ilvl w:val="0"/>
          <w:numId w:val="23"/>
        </w:numPr>
        <w:spacing w:before="240" w:after="240" w:line="360" w:lineRule="auto"/>
        <w:ind w:left="284" w:hanging="284"/>
        <w:contextualSpacing w:val="0"/>
        <w:jc w:val="both"/>
        <w:rPr>
          <w:rFonts w:ascii="Arial" w:hAnsi="Arial" w:cs="Arial"/>
          <w:i/>
        </w:rPr>
      </w:pPr>
      <w:r w:rsidRPr="00C51961">
        <w:rPr>
          <w:rFonts w:ascii="Arial" w:hAnsi="Arial" w:cs="Arial"/>
        </w:rPr>
        <w:t xml:space="preserve">El valor de la Garantía de </w:t>
      </w:r>
      <w:r w:rsidR="00570376" w:rsidRPr="00C51961">
        <w:rPr>
          <w:rFonts w:ascii="Arial" w:hAnsi="Arial" w:cs="Arial"/>
        </w:rPr>
        <w:t>C</w:t>
      </w:r>
      <w:r w:rsidRPr="00C51961">
        <w:rPr>
          <w:rFonts w:ascii="Arial" w:hAnsi="Arial" w:cs="Arial"/>
        </w:rPr>
        <w:t xml:space="preserve">umplimiento de </w:t>
      </w:r>
      <w:r w:rsidR="00570376" w:rsidRPr="00C51961">
        <w:rPr>
          <w:rFonts w:ascii="Arial" w:hAnsi="Arial" w:cs="Arial"/>
        </w:rPr>
        <w:t>C</w:t>
      </w:r>
      <w:r w:rsidRPr="00C51961">
        <w:rPr>
          <w:rFonts w:ascii="Arial" w:hAnsi="Arial" w:cs="Arial"/>
        </w:rPr>
        <w:t>ontrato es de:</w:t>
      </w:r>
      <w:r w:rsidR="00DD601B" w:rsidRPr="00C51961">
        <w:rPr>
          <w:rFonts w:ascii="Arial" w:hAnsi="Arial" w:cs="Arial"/>
        </w:rPr>
        <w:t xml:space="preserve"> </w:t>
      </w:r>
      <w:r w:rsidR="00C51961" w:rsidRPr="00C51961">
        <w:rPr>
          <w:rFonts w:ascii="Arial" w:hAnsi="Arial" w:cs="Arial"/>
          <w:i/>
        </w:rPr>
        <w:t xml:space="preserve">10% (diez por ciento) del monto </w:t>
      </w:r>
      <w:r w:rsidR="00E5581E">
        <w:rPr>
          <w:rFonts w:ascii="Arial" w:hAnsi="Arial" w:cs="Arial"/>
          <w:i/>
        </w:rPr>
        <w:t xml:space="preserve">total </w:t>
      </w:r>
      <w:r w:rsidR="00E5581E" w:rsidRPr="00C51961">
        <w:rPr>
          <w:rFonts w:ascii="Arial" w:hAnsi="Arial" w:cs="Arial"/>
          <w:i/>
        </w:rPr>
        <w:t>del</w:t>
      </w:r>
      <w:r w:rsidR="00C51961" w:rsidRPr="00C51961">
        <w:rPr>
          <w:rFonts w:ascii="Arial" w:hAnsi="Arial" w:cs="Arial"/>
          <w:i/>
        </w:rPr>
        <w:t xml:space="preserve"> contrato.</w:t>
      </w:r>
    </w:p>
    <w:p w14:paraId="7F9CAD00" w14:textId="311545F4"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C51961">
        <w:rPr>
          <w:rFonts w:ascii="Arial" w:hAnsi="Arial" w:cs="Arial"/>
        </w:rPr>
        <w:t>SI.</w:t>
      </w:r>
    </w:p>
    <w:p w14:paraId="38A5E232" w14:textId="7A549886"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51961">
        <w:rPr>
          <w:rFonts w:ascii="Arial" w:hAnsi="Arial" w:cs="Arial"/>
        </w:rPr>
        <w:t xml:space="preserve">: </w:t>
      </w:r>
      <w:r w:rsidR="00C51961" w:rsidRPr="00C51961">
        <w:rPr>
          <w:rFonts w:ascii="Arial" w:hAnsi="Arial" w:cs="Arial"/>
        </w:rPr>
        <w:t xml:space="preserve"> </w:t>
      </w:r>
      <w:r w:rsidR="00C51961" w:rsidRPr="00C51961">
        <w:rPr>
          <w:rFonts w:ascii="Arial" w:hAnsi="Arial" w:cs="Arial"/>
          <w:i/>
        </w:rPr>
        <w:t>en un plazo no mayor a 30 días contados a partir de la fecha de cumplimiento de las obligaciones del proveedor.</w:t>
      </w:r>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52CFC133" w:rsidR="003C0B8F" w:rsidRPr="00C51961" w:rsidRDefault="003C0B8F" w:rsidP="00C51961">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lugar de entrega de los bienes o prestación de los servicios es de:</w:t>
      </w:r>
      <w:r w:rsidR="00C51961" w:rsidRPr="00C51961">
        <w:rPr>
          <w:rFonts w:ascii="Arial" w:hAnsi="Arial" w:cs="Arial"/>
          <w:i/>
        </w:rPr>
        <w:t xml:space="preserve"> la Dirección de Depósito de Bienes e Insumos, sito Ruta </w:t>
      </w:r>
      <w:proofErr w:type="spellStart"/>
      <w:r w:rsidR="00C51961" w:rsidRPr="00C51961">
        <w:rPr>
          <w:rFonts w:ascii="Arial" w:hAnsi="Arial" w:cs="Arial"/>
          <w:i/>
        </w:rPr>
        <w:t>Mcal</w:t>
      </w:r>
      <w:proofErr w:type="spellEnd"/>
      <w:r w:rsidR="00C51961" w:rsidRPr="00C51961">
        <w:rPr>
          <w:rFonts w:ascii="Arial" w:hAnsi="Arial" w:cs="Arial"/>
          <w:i/>
        </w:rPr>
        <w:t xml:space="preserve">. </w:t>
      </w:r>
      <w:proofErr w:type="spellStart"/>
      <w:r w:rsidR="00C51961" w:rsidRPr="00C51961">
        <w:rPr>
          <w:rFonts w:ascii="Arial" w:hAnsi="Arial" w:cs="Arial"/>
          <w:i/>
        </w:rPr>
        <w:t>Estigarribia</w:t>
      </w:r>
      <w:proofErr w:type="spellEnd"/>
      <w:r w:rsidR="00C51961" w:rsidRPr="00C51961">
        <w:rPr>
          <w:rFonts w:ascii="Arial" w:hAnsi="Arial" w:cs="Arial"/>
          <w:i/>
        </w:rPr>
        <w:t xml:space="preserve"> Km 10 ½ - San Lorenzo, de lunes a viernes de 08:00 a 12:00 horas.</w:t>
      </w:r>
      <w:r w:rsidR="00DD601B" w:rsidRPr="00C51961">
        <w:rPr>
          <w:rFonts w:ascii="Arial" w:hAnsi="Arial" w:cs="Arial"/>
        </w:rPr>
        <w:t xml:space="preserve"> </w:t>
      </w:r>
    </w:p>
    <w:p w14:paraId="6BB598EE" w14:textId="6FE2698D"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C51961" w:rsidRPr="00C51961">
        <w:rPr>
          <w:rFonts w:ascii="Arial" w:hAnsi="Arial" w:cs="Arial"/>
          <w:i/>
        </w:rPr>
        <w:t>0,5</w:t>
      </w:r>
      <w:r w:rsidRPr="00C51961">
        <w:rPr>
          <w:rFonts w:ascii="Arial" w:hAnsi="Arial" w:cs="Arial"/>
        </w:rPr>
        <w:t xml:space="preserve"> </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1C9FBC39" w14:textId="446114EE" w:rsidR="00C41023" w:rsidRPr="006A5647" w:rsidRDefault="00C41023" w:rsidP="00C41023">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 xml:space="preserve">Vigencia del contrato: </w:t>
      </w:r>
      <w:r>
        <w:rPr>
          <w:rFonts w:ascii="Arial" w:eastAsia="Arial" w:hAnsi="Arial" w:cs="Arial"/>
          <w:color w:val="000000"/>
          <w:lang w:eastAsia="es-PY"/>
        </w:rPr>
        <w:t>hasta el 31 diciembre del 2018</w:t>
      </w:r>
      <w:r w:rsidRPr="00FB560F">
        <w:rPr>
          <w:rFonts w:ascii="Arial" w:eastAsia="Arial" w:hAnsi="Arial" w:cs="Arial"/>
          <w:color w:val="000000"/>
          <w:lang w:eastAsia="es-PY"/>
        </w:rPr>
        <w:t>.</w:t>
      </w:r>
    </w:p>
    <w:p w14:paraId="5BF84BD2" w14:textId="77777777" w:rsidR="00C41023" w:rsidRDefault="00C41023" w:rsidP="00C41023">
      <w:pPr>
        <w:pStyle w:val="Prrafodelista"/>
        <w:spacing w:before="240" w:after="240" w:line="360" w:lineRule="auto"/>
        <w:ind w:left="284"/>
        <w:contextualSpacing w:val="0"/>
        <w:jc w:val="both"/>
        <w:rPr>
          <w:rFonts w:ascii="Arial" w:hAnsi="Arial" w:cs="Arial"/>
        </w:rPr>
      </w:pPr>
    </w:p>
    <w:p w14:paraId="10E26855" w14:textId="77777777" w:rsidR="00EA0C60" w:rsidRDefault="00EA0C60" w:rsidP="00EA0C60">
      <w:pPr>
        <w:pStyle w:val="Prrafodelista"/>
        <w:spacing w:before="240" w:after="240" w:line="360" w:lineRule="auto"/>
        <w:ind w:left="284"/>
        <w:contextualSpacing w:val="0"/>
        <w:jc w:val="both"/>
        <w:rPr>
          <w:rFonts w:ascii="Arial" w:hAnsi="Arial" w:cs="Arial"/>
        </w:rPr>
      </w:pPr>
    </w:p>
    <w:p w14:paraId="5758158E" w14:textId="4CF7F68E" w:rsidR="00BD5144" w:rsidRPr="00EA0C60" w:rsidRDefault="00EA0C60" w:rsidP="00EA0C60">
      <w:pPr>
        <w:pStyle w:val="Prrafodelista"/>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0" w:line="240" w:lineRule="auto"/>
        <w:ind w:left="284"/>
        <w:rPr>
          <w:rFonts w:ascii="Arial" w:eastAsia="Times New Roman" w:hAnsi="Arial" w:cs="Arial"/>
          <w:b/>
          <w:sz w:val="40"/>
          <w:szCs w:val="40"/>
          <w:lang w:val="es-ES"/>
        </w:rPr>
      </w:pPr>
      <w:r>
        <w:rPr>
          <w:rFonts w:ascii="Arial" w:hAnsi="Arial" w:cs="Arial"/>
        </w:rPr>
        <w:t xml:space="preserve">                                           </w:t>
      </w:r>
      <w:r w:rsidR="006A5647" w:rsidRPr="00EA0C60">
        <w:rPr>
          <w:rFonts w:ascii="Arial" w:hAnsi="Arial" w:cs="Arial"/>
        </w:rPr>
        <w:t xml:space="preserve">     </w:t>
      </w:r>
      <w:r w:rsidR="0012194C" w:rsidRPr="00EA0C60">
        <w:rPr>
          <w:rFonts w:ascii="Arial" w:eastAsia="Times New Roman" w:hAnsi="Arial" w:cs="Arial"/>
          <w:b/>
          <w:sz w:val="40"/>
          <w:szCs w:val="40"/>
          <w:lang w:val="es-ES"/>
        </w:rPr>
        <w:t>ANEXO C</w:t>
      </w:r>
    </w:p>
    <w:p w14:paraId="693FD737" w14:textId="4F12AC95" w:rsidR="00921766" w:rsidRPr="001B2714" w:rsidRDefault="0012194C" w:rsidP="00C82218">
      <w:pPr>
        <w:spacing w:after="0" w:line="240" w:lineRule="auto"/>
        <w:jc w:val="center"/>
        <w:rPr>
          <w:rFonts w:ascii="Arial" w:eastAsia="Times New Roman" w:hAnsi="Arial" w:cs="Arial"/>
          <w:b/>
          <w:sz w:val="40"/>
          <w:szCs w:val="40"/>
          <w:lang w:val="es-ES"/>
        </w:rPr>
      </w:pPr>
      <w:r w:rsidRPr="001B2714">
        <w:rPr>
          <w:rFonts w:ascii="Arial" w:eastAsia="Times New Roman" w:hAnsi="Arial" w:cs="Arial"/>
          <w:b/>
          <w:sz w:val="40"/>
          <w:szCs w:val="4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14:paraId="24402119" w14:textId="77777777" w:rsidR="00C51961" w:rsidRPr="00C51961" w:rsidRDefault="00C51961" w:rsidP="00C51961">
      <w:pPr>
        <w:widowControl w:val="0"/>
        <w:autoSpaceDE w:val="0"/>
        <w:autoSpaceDN w:val="0"/>
        <w:adjustRightInd w:val="0"/>
        <w:spacing w:after="0" w:line="240" w:lineRule="auto"/>
        <w:jc w:val="both"/>
        <w:textAlignment w:val="baseline"/>
        <w:rPr>
          <w:rFonts w:ascii="Arial" w:eastAsia="Times New Roman" w:hAnsi="Arial" w:cs="Arial"/>
          <w:b/>
          <w:lang w:val="es-ES_tradnl"/>
        </w:rPr>
      </w:pPr>
      <w:bookmarkStart w:id="1" w:name="_Toc228071956"/>
      <w:r w:rsidRPr="00C51961">
        <w:rPr>
          <w:rFonts w:ascii="Arial" w:eastAsia="Times New Roman" w:hAnsi="Arial" w:cs="Arial"/>
          <w:b/>
          <w:lang w:val="es-ES_tradnl"/>
        </w:rPr>
        <w:t xml:space="preserve">1.1 </w:t>
      </w:r>
      <w:r w:rsidRPr="00C51961">
        <w:rPr>
          <w:rFonts w:ascii="Arial" w:eastAsia="Times New Roman" w:hAnsi="Arial" w:cs="Arial"/>
          <w:b/>
          <w:u w:val="single"/>
          <w:lang w:val="es-ES_tradnl"/>
        </w:rPr>
        <w:t>OBJETO</w:t>
      </w:r>
      <w:r w:rsidRPr="00C51961">
        <w:rPr>
          <w:rFonts w:ascii="Arial" w:eastAsia="Times New Roman" w:hAnsi="Arial" w:cs="Arial"/>
          <w:b/>
          <w:lang w:val="es-ES_tradnl"/>
        </w:rPr>
        <w:t>.</w:t>
      </w:r>
    </w:p>
    <w:p w14:paraId="4B428B22" w14:textId="77777777" w:rsidR="00C51961" w:rsidRPr="00C51961" w:rsidRDefault="00C51961" w:rsidP="00C51961">
      <w:pPr>
        <w:spacing w:after="0" w:line="240" w:lineRule="auto"/>
        <w:rPr>
          <w:rFonts w:ascii="Arial" w:eastAsia="Times New Roman" w:hAnsi="Arial" w:cs="Arial"/>
          <w:b/>
          <w:i/>
          <w:lang w:eastAsia="es-PY"/>
        </w:rPr>
      </w:pPr>
    </w:p>
    <w:p w14:paraId="52E06307" w14:textId="77777777" w:rsidR="00C51961" w:rsidRPr="00C51961" w:rsidRDefault="00C51961" w:rsidP="00C51961">
      <w:pPr>
        <w:spacing w:after="0" w:line="240" w:lineRule="auto"/>
        <w:jc w:val="both"/>
        <w:rPr>
          <w:rFonts w:ascii="Arial" w:eastAsia="Times New Roman" w:hAnsi="Arial" w:cs="Arial"/>
          <w:i/>
          <w:lang w:eastAsia="es-PY"/>
        </w:rPr>
      </w:pPr>
      <w:r w:rsidRPr="00C51961">
        <w:rPr>
          <w:rFonts w:ascii="Arial" w:eastAsia="Times New Roman" w:hAnsi="Arial" w:cs="Arial"/>
          <w:i/>
          <w:lang w:eastAsia="es-PY"/>
        </w:rPr>
        <w:t>El objeto de la presente especificación técnica es establecer las condiciones que deberán reunir los bienes solicitados.</w:t>
      </w:r>
    </w:p>
    <w:p w14:paraId="0543EEEB" w14:textId="77777777" w:rsidR="00C51961" w:rsidRPr="00C51961" w:rsidRDefault="00C51961" w:rsidP="00C51961">
      <w:pPr>
        <w:spacing w:after="0" w:line="240" w:lineRule="auto"/>
        <w:rPr>
          <w:rFonts w:ascii="Arial" w:eastAsia="Times New Roman" w:hAnsi="Arial" w:cs="Arial"/>
          <w:i/>
          <w:sz w:val="16"/>
          <w:szCs w:val="16"/>
          <w:lang w:eastAsia="es-PY"/>
        </w:rPr>
      </w:pPr>
    </w:p>
    <w:p w14:paraId="1A316C04" w14:textId="77777777" w:rsidR="00C51961" w:rsidRPr="00C51961" w:rsidRDefault="00C51961" w:rsidP="00C51961">
      <w:pPr>
        <w:widowControl w:val="0"/>
        <w:autoSpaceDE w:val="0"/>
        <w:autoSpaceDN w:val="0"/>
        <w:adjustRightInd w:val="0"/>
        <w:spacing w:after="0" w:line="240" w:lineRule="auto"/>
        <w:jc w:val="both"/>
        <w:textAlignment w:val="baseline"/>
        <w:rPr>
          <w:rFonts w:ascii="Arial" w:eastAsia="Times New Roman" w:hAnsi="Arial" w:cs="Arial"/>
          <w:b/>
          <w:u w:val="single"/>
          <w:lang w:val="es-ES_tradnl"/>
        </w:rPr>
      </w:pPr>
      <w:r w:rsidRPr="00C51961">
        <w:rPr>
          <w:rFonts w:ascii="Arial" w:eastAsia="Times New Roman" w:hAnsi="Arial" w:cs="Arial"/>
          <w:b/>
          <w:lang w:val="es-ES_tradnl"/>
        </w:rPr>
        <w:t xml:space="preserve">1.2 </w:t>
      </w:r>
      <w:r w:rsidRPr="00C51961">
        <w:rPr>
          <w:rFonts w:ascii="Arial" w:eastAsia="Times New Roman" w:hAnsi="Arial" w:cs="Arial"/>
          <w:b/>
          <w:u w:val="single"/>
          <w:lang w:val="es-ES_tradnl"/>
        </w:rPr>
        <w:t>ALCANCE DEL SUMINISTRO</w:t>
      </w:r>
    </w:p>
    <w:p w14:paraId="7509833B" w14:textId="77777777" w:rsidR="00C51961" w:rsidRPr="00C51961" w:rsidRDefault="00C51961" w:rsidP="00C51961">
      <w:pPr>
        <w:spacing w:after="0" w:line="240" w:lineRule="auto"/>
        <w:rPr>
          <w:rFonts w:ascii="Arial" w:eastAsia="Times New Roman" w:hAnsi="Arial" w:cs="Arial"/>
          <w:b/>
          <w:i/>
          <w:sz w:val="16"/>
          <w:szCs w:val="16"/>
          <w:lang w:eastAsia="es-PY"/>
        </w:rPr>
      </w:pPr>
    </w:p>
    <w:p w14:paraId="08FC6DF7" w14:textId="55320A75" w:rsidR="00C51961" w:rsidRPr="00C51961" w:rsidRDefault="00C51961" w:rsidP="00C51961">
      <w:pPr>
        <w:jc w:val="both"/>
        <w:rPr>
          <w:rFonts w:ascii="Arial" w:eastAsia="Times New Roman" w:hAnsi="Arial" w:cs="Arial"/>
          <w:b/>
          <w:i/>
          <w:u w:val="single"/>
          <w:lang w:eastAsia="es-PY"/>
        </w:rPr>
      </w:pPr>
      <w:r w:rsidRPr="00C51961">
        <w:rPr>
          <w:rFonts w:ascii="Arial" w:eastAsia="BatangChe" w:hAnsi="Arial" w:cs="Arial"/>
          <w:i/>
          <w:lang w:val="es-MX" w:eastAsia="es-PY"/>
        </w:rPr>
        <w:t>El suministro objeto de la presente Contratación consiste en la Adquis</w:t>
      </w:r>
      <w:r w:rsidR="00680B2C">
        <w:rPr>
          <w:rFonts w:ascii="Arial" w:eastAsia="BatangChe" w:hAnsi="Arial" w:cs="Arial"/>
          <w:i/>
          <w:lang w:val="es-MX" w:eastAsia="es-PY"/>
        </w:rPr>
        <w:t>ición de Gases y Nitrógenos</w:t>
      </w:r>
      <w:r w:rsidRPr="00C51961">
        <w:rPr>
          <w:rFonts w:ascii="Arial" w:eastAsia="BatangChe" w:hAnsi="Arial" w:cs="Arial"/>
          <w:i/>
          <w:lang w:val="es-MX" w:eastAsia="es-PY"/>
        </w:rPr>
        <w:t>, conforme a las siguientes condiciones:</w:t>
      </w:r>
      <w:r w:rsidRPr="00C51961">
        <w:rPr>
          <w:rFonts w:ascii="Arial" w:eastAsia="Times New Roman" w:hAnsi="Arial" w:cs="Arial"/>
          <w:b/>
          <w:i/>
          <w:u w:val="single"/>
          <w:lang w:eastAsia="es-PY"/>
        </w:rPr>
        <w:t xml:space="preserve"> </w:t>
      </w:r>
    </w:p>
    <w:p w14:paraId="7B93BC83" w14:textId="77777777" w:rsidR="00680B2C" w:rsidRPr="00C45CA4" w:rsidRDefault="00680B2C" w:rsidP="00680B2C">
      <w:pPr>
        <w:pStyle w:val="SectionVIHeader"/>
        <w:spacing w:after="0" w:line="240" w:lineRule="auto"/>
        <w:jc w:val="left"/>
        <w:rPr>
          <w:rFonts w:ascii="Arial" w:hAnsi="Arial" w:cs="Arial"/>
          <w:i/>
          <w:sz w:val="22"/>
          <w:szCs w:val="22"/>
          <w:lang w:val="es-MX"/>
        </w:rPr>
      </w:pPr>
    </w:p>
    <w:tbl>
      <w:tblPr>
        <w:tblW w:w="9229" w:type="dxa"/>
        <w:tblInd w:w="55" w:type="dxa"/>
        <w:tblLayout w:type="fixed"/>
        <w:tblCellMar>
          <w:left w:w="70" w:type="dxa"/>
          <w:right w:w="70" w:type="dxa"/>
        </w:tblCellMar>
        <w:tblLook w:val="04A0" w:firstRow="1" w:lastRow="0" w:firstColumn="1" w:lastColumn="0" w:noHBand="0" w:noVBand="1"/>
      </w:tblPr>
      <w:tblGrid>
        <w:gridCol w:w="724"/>
        <w:gridCol w:w="1559"/>
        <w:gridCol w:w="1559"/>
        <w:gridCol w:w="2126"/>
        <w:gridCol w:w="1418"/>
        <w:gridCol w:w="1843"/>
      </w:tblGrid>
      <w:tr w:rsidR="00680B2C" w:rsidRPr="007B6F9A" w14:paraId="610D3144" w14:textId="77777777" w:rsidTr="00F5206B">
        <w:trPr>
          <w:trHeight w:val="300"/>
        </w:trPr>
        <w:tc>
          <w:tcPr>
            <w:tcW w:w="724" w:type="dxa"/>
            <w:vMerge w:val="restart"/>
            <w:tcBorders>
              <w:top w:val="single" w:sz="4" w:space="0" w:color="auto"/>
              <w:left w:val="single" w:sz="4" w:space="0" w:color="auto"/>
              <w:bottom w:val="single" w:sz="4" w:space="0" w:color="auto"/>
              <w:right w:val="single" w:sz="4" w:space="0" w:color="auto"/>
            </w:tcBorders>
            <w:shd w:val="clear" w:color="000000" w:fill="B7DEE8"/>
            <w:vAlign w:val="center"/>
            <w:hideMark/>
          </w:tcPr>
          <w:p w14:paraId="6DB3E15A" w14:textId="77777777" w:rsidR="00680B2C" w:rsidRPr="007B6F9A" w:rsidRDefault="00680B2C" w:rsidP="00C745FB">
            <w:pPr>
              <w:pStyle w:val="SectionVIHeader"/>
              <w:spacing w:line="240" w:lineRule="auto"/>
              <w:jc w:val="left"/>
              <w:rPr>
                <w:rFonts w:ascii="Arial" w:hAnsi="Arial" w:cs="Arial"/>
                <w:i/>
                <w:sz w:val="20"/>
                <w:szCs w:val="20"/>
                <w:lang w:val="es-PY"/>
              </w:rPr>
            </w:pPr>
            <w:r w:rsidRPr="007B6F9A">
              <w:rPr>
                <w:rFonts w:ascii="Arial" w:hAnsi="Arial" w:cs="Arial"/>
                <w:i/>
                <w:sz w:val="20"/>
                <w:szCs w:val="20"/>
                <w:lang w:val="es-PY"/>
              </w:rPr>
              <w:t>ITEM</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B7DEE8"/>
            <w:vAlign w:val="center"/>
            <w:hideMark/>
          </w:tcPr>
          <w:p w14:paraId="28D92BF6" w14:textId="77777777" w:rsidR="00680B2C" w:rsidRPr="007B6F9A" w:rsidRDefault="00680B2C" w:rsidP="00C745FB">
            <w:pPr>
              <w:pStyle w:val="SectionVIHeader"/>
              <w:spacing w:line="240" w:lineRule="auto"/>
              <w:rPr>
                <w:rFonts w:ascii="Arial" w:hAnsi="Arial" w:cs="Arial"/>
                <w:i/>
                <w:sz w:val="20"/>
                <w:szCs w:val="20"/>
                <w:lang w:val="es-PY"/>
              </w:rPr>
            </w:pPr>
            <w:r w:rsidRPr="007B6F9A">
              <w:rPr>
                <w:rFonts w:ascii="Arial" w:hAnsi="Arial" w:cs="Arial"/>
                <w:i/>
                <w:sz w:val="20"/>
                <w:szCs w:val="20"/>
                <w:lang w:val="es-PY"/>
              </w:rPr>
              <w:t>Descripción según catalogo</w:t>
            </w:r>
          </w:p>
        </w:tc>
        <w:tc>
          <w:tcPr>
            <w:tcW w:w="3685" w:type="dxa"/>
            <w:gridSpan w:val="2"/>
            <w:tcBorders>
              <w:top w:val="single" w:sz="4" w:space="0" w:color="auto"/>
              <w:left w:val="nil"/>
              <w:bottom w:val="single" w:sz="4" w:space="0" w:color="auto"/>
              <w:right w:val="single" w:sz="4" w:space="0" w:color="auto"/>
            </w:tcBorders>
            <w:shd w:val="clear" w:color="000000" w:fill="B7DEE8"/>
            <w:vAlign w:val="center"/>
            <w:hideMark/>
          </w:tcPr>
          <w:p w14:paraId="2E78565C" w14:textId="77777777" w:rsidR="00680B2C" w:rsidRPr="007B6F9A" w:rsidRDefault="00680B2C" w:rsidP="00C745FB">
            <w:pPr>
              <w:pStyle w:val="SectionVIHeader"/>
              <w:spacing w:line="240" w:lineRule="auto"/>
              <w:jc w:val="left"/>
              <w:rPr>
                <w:rFonts w:ascii="Arial" w:hAnsi="Arial" w:cs="Arial"/>
                <w:i/>
                <w:sz w:val="20"/>
                <w:szCs w:val="20"/>
                <w:lang w:val="es-PY"/>
              </w:rPr>
            </w:pPr>
            <w:r w:rsidRPr="007B6F9A">
              <w:rPr>
                <w:rFonts w:ascii="Arial" w:hAnsi="Arial" w:cs="Arial"/>
                <w:i/>
                <w:sz w:val="20"/>
                <w:szCs w:val="20"/>
                <w:lang w:val="es-PY"/>
              </w:rPr>
              <w:t>ESPECIFICACIONES TÉCNICAS</w:t>
            </w:r>
          </w:p>
        </w:tc>
        <w:tc>
          <w:tcPr>
            <w:tcW w:w="3261" w:type="dxa"/>
            <w:gridSpan w:val="2"/>
            <w:tcBorders>
              <w:top w:val="single" w:sz="4" w:space="0" w:color="auto"/>
              <w:left w:val="nil"/>
              <w:bottom w:val="single" w:sz="4" w:space="0" w:color="auto"/>
              <w:right w:val="single" w:sz="4" w:space="0" w:color="auto"/>
            </w:tcBorders>
            <w:shd w:val="clear" w:color="000000" w:fill="B7DEE8"/>
            <w:vAlign w:val="center"/>
            <w:hideMark/>
          </w:tcPr>
          <w:p w14:paraId="5995C0AA" w14:textId="77777777" w:rsidR="00680B2C" w:rsidRPr="007B6F9A" w:rsidRDefault="00680B2C" w:rsidP="00C745FB">
            <w:pPr>
              <w:pStyle w:val="SectionVIHeader"/>
              <w:spacing w:line="240" w:lineRule="auto"/>
              <w:rPr>
                <w:rFonts w:ascii="Arial" w:hAnsi="Arial" w:cs="Arial"/>
                <w:i/>
                <w:sz w:val="20"/>
                <w:szCs w:val="20"/>
                <w:lang w:val="es-PY"/>
              </w:rPr>
            </w:pPr>
            <w:r w:rsidRPr="007B6F9A">
              <w:rPr>
                <w:rFonts w:ascii="Arial" w:hAnsi="Arial" w:cs="Arial"/>
                <w:i/>
                <w:sz w:val="20"/>
                <w:szCs w:val="20"/>
                <w:lang w:val="es-PY"/>
              </w:rPr>
              <w:t>PRESENTACION</w:t>
            </w:r>
          </w:p>
        </w:tc>
      </w:tr>
      <w:tr w:rsidR="00680B2C" w:rsidRPr="007B6F9A" w14:paraId="42D43D52" w14:textId="77777777" w:rsidTr="00F5206B">
        <w:trPr>
          <w:trHeight w:val="900"/>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5227F30A" w14:textId="77777777" w:rsidR="00680B2C" w:rsidRPr="007B6F9A" w:rsidRDefault="00680B2C" w:rsidP="00C745FB">
            <w:pPr>
              <w:pStyle w:val="SectionVIHeader"/>
              <w:spacing w:line="240" w:lineRule="auto"/>
              <w:rPr>
                <w:rFonts w:ascii="Arial" w:hAnsi="Arial" w:cs="Arial"/>
                <w:i/>
                <w:sz w:val="20"/>
                <w:szCs w:val="20"/>
                <w:lang w:val="es-PY"/>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1A3B1B4" w14:textId="77777777" w:rsidR="00680B2C" w:rsidRPr="007B6F9A" w:rsidRDefault="00680B2C" w:rsidP="00C745FB">
            <w:pPr>
              <w:pStyle w:val="SectionVIHeader"/>
              <w:spacing w:line="240" w:lineRule="auto"/>
              <w:rPr>
                <w:rFonts w:ascii="Arial" w:hAnsi="Arial" w:cs="Arial"/>
                <w:i/>
                <w:sz w:val="20"/>
                <w:szCs w:val="20"/>
                <w:lang w:val="es-PY"/>
              </w:rPr>
            </w:pPr>
          </w:p>
        </w:tc>
        <w:tc>
          <w:tcPr>
            <w:tcW w:w="1559" w:type="dxa"/>
            <w:tcBorders>
              <w:top w:val="nil"/>
              <w:left w:val="nil"/>
              <w:bottom w:val="single" w:sz="4" w:space="0" w:color="auto"/>
              <w:right w:val="single" w:sz="4" w:space="0" w:color="auto"/>
            </w:tcBorders>
            <w:shd w:val="clear" w:color="000000" w:fill="B7DEE8"/>
            <w:vAlign w:val="center"/>
            <w:hideMark/>
          </w:tcPr>
          <w:p w14:paraId="5FE535E2" w14:textId="77777777" w:rsidR="00680B2C" w:rsidRPr="007B6F9A" w:rsidRDefault="00680B2C" w:rsidP="00C745FB">
            <w:pPr>
              <w:pStyle w:val="SectionVIHeader"/>
              <w:spacing w:line="240" w:lineRule="auto"/>
              <w:jc w:val="left"/>
              <w:rPr>
                <w:rFonts w:ascii="Arial" w:hAnsi="Arial" w:cs="Arial"/>
                <w:i/>
                <w:sz w:val="20"/>
                <w:szCs w:val="20"/>
                <w:lang w:val="es-PY"/>
              </w:rPr>
            </w:pPr>
            <w:r w:rsidRPr="007B6F9A">
              <w:rPr>
                <w:rFonts w:ascii="Arial" w:hAnsi="Arial" w:cs="Arial"/>
                <w:i/>
                <w:sz w:val="20"/>
                <w:szCs w:val="20"/>
                <w:lang w:val="es-PY"/>
              </w:rPr>
              <w:t xml:space="preserve">Denominación del producto </w:t>
            </w:r>
          </w:p>
        </w:tc>
        <w:tc>
          <w:tcPr>
            <w:tcW w:w="2126" w:type="dxa"/>
            <w:tcBorders>
              <w:top w:val="nil"/>
              <w:left w:val="nil"/>
              <w:bottom w:val="single" w:sz="4" w:space="0" w:color="auto"/>
              <w:right w:val="single" w:sz="4" w:space="0" w:color="auto"/>
            </w:tcBorders>
            <w:shd w:val="clear" w:color="000000" w:fill="B7DEE8"/>
            <w:vAlign w:val="center"/>
            <w:hideMark/>
          </w:tcPr>
          <w:p w14:paraId="775103BA" w14:textId="77777777" w:rsidR="00680B2C" w:rsidRPr="007B6F9A" w:rsidRDefault="00680B2C" w:rsidP="00C745FB">
            <w:pPr>
              <w:pStyle w:val="SectionVIHeader"/>
              <w:spacing w:line="240" w:lineRule="auto"/>
              <w:rPr>
                <w:rFonts w:ascii="Arial" w:hAnsi="Arial" w:cs="Arial"/>
                <w:i/>
                <w:sz w:val="20"/>
                <w:szCs w:val="20"/>
                <w:lang w:val="es-PY"/>
              </w:rPr>
            </w:pPr>
            <w:r w:rsidRPr="007B6F9A">
              <w:rPr>
                <w:rFonts w:ascii="Arial" w:hAnsi="Arial" w:cs="Arial"/>
                <w:i/>
                <w:sz w:val="20"/>
                <w:szCs w:val="20"/>
                <w:lang w:val="es-PY"/>
              </w:rPr>
              <w:t xml:space="preserve">FORMULAS. </w:t>
            </w:r>
            <w:r w:rsidRPr="007B6F9A">
              <w:rPr>
                <w:rFonts w:ascii="Arial" w:hAnsi="Arial" w:cs="Arial"/>
                <w:i/>
                <w:sz w:val="20"/>
                <w:szCs w:val="20"/>
                <w:lang w:val="es-PY"/>
              </w:rPr>
              <w:br/>
              <w:t>CARACTERÍSTICAS TÉCNICAS. UTILIDAD</w:t>
            </w:r>
          </w:p>
        </w:tc>
        <w:tc>
          <w:tcPr>
            <w:tcW w:w="1418" w:type="dxa"/>
            <w:tcBorders>
              <w:top w:val="nil"/>
              <w:left w:val="nil"/>
              <w:bottom w:val="single" w:sz="4" w:space="0" w:color="auto"/>
              <w:right w:val="single" w:sz="4" w:space="0" w:color="auto"/>
            </w:tcBorders>
            <w:shd w:val="clear" w:color="000000" w:fill="B7DEE8"/>
            <w:vAlign w:val="center"/>
            <w:hideMark/>
          </w:tcPr>
          <w:p w14:paraId="7A08F499" w14:textId="77777777" w:rsidR="00680B2C" w:rsidRPr="007B6F9A" w:rsidRDefault="00680B2C" w:rsidP="00C745FB">
            <w:pPr>
              <w:pStyle w:val="SectionVIHeader"/>
              <w:spacing w:line="240" w:lineRule="auto"/>
              <w:rPr>
                <w:rFonts w:ascii="Arial" w:hAnsi="Arial" w:cs="Arial"/>
                <w:i/>
                <w:sz w:val="20"/>
                <w:szCs w:val="20"/>
                <w:lang w:val="es-PY"/>
              </w:rPr>
            </w:pPr>
            <w:r w:rsidRPr="007B6F9A">
              <w:rPr>
                <w:rFonts w:ascii="Arial" w:hAnsi="Arial" w:cs="Arial"/>
                <w:i/>
                <w:sz w:val="20"/>
                <w:szCs w:val="20"/>
                <w:lang w:val="es-PY"/>
              </w:rPr>
              <w:t>UNIDAD DE MEDIDA (U.M)</w:t>
            </w:r>
          </w:p>
        </w:tc>
        <w:tc>
          <w:tcPr>
            <w:tcW w:w="1843" w:type="dxa"/>
            <w:tcBorders>
              <w:top w:val="nil"/>
              <w:left w:val="nil"/>
              <w:bottom w:val="single" w:sz="4" w:space="0" w:color="auto"/>
              <w:right w:val="single" w:sz="4" w:space="0" w:color="auto"/>
            </w:tcBorders>
            <w:shd w:val="clear" w:color="000000" w:fill="B7DEE8"/>
            <w:vAlign w:val="center"/>
            <w:hideMark/>
          </w:tcPr>
          <w:p w14:paraId="449C7F80" w14:textId="77777777" w:rsidR="00680B2C" w:rsidRPr="007B6F9A" w:rsidRDefault="00680B2C" w:rsidP="00C745FB">
            <w:pPr>
              <w:pStyle w:val="SectionVIHeader"/>
              <w:spacing w:line="240" w:lineRule="auto"/>
              <w:jc w:val="left"/>
              <w:rPr>
                <w:rFonts w:ascii="Arial" w:hAnsi="Arial" w:cs="Arial"/>
                <w:i/>
                <w:sz w:val="20"/>
                <w:szCs w:val="20"/>
                <w:lang w:val="es-PY"/>
              </w:rPr>
            </w:pPr>
            <w:r w:rsidRPr="007B6F9A">
              <w:rPr>
                <w:rFonts w:ascii="Arial" w:hAnsi="Arial" w:cs="Arial"/>
                <w:i/>
                <w:sz w:val="20"/>
                <w:szCs w:val="20"/>
                <w:lang w:val="es-PY"/>
              </w:rPr>
              <w:t>PRESENTACIÓN</w:t>
            </w:r>
          </w:p>
        </w:tc>
      </w:tr>
      <w:tr w:rsidR="00680B2C" w:rsidRPr="007B6F9A" w14:paraId="47E9C917" w14:textId="77777777" w:rsidTr="00F5206B">
        <w:trPr>
          <w:trHeight w:val="7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415B3D"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1</w:t>
            </w:r>
          </w:p>
        </w:tc>
        <w:tc>
          <w:tcPr>
            <w:tcW w:w="1559" w:type="dxa"/>
            <w:tcBorders>
              <w:top w:val="nil"/>
              <w:left w:val="nil"/>
              <w:bottom w:val="single" w:sz="4" w:space="0" w:color="auto"/>
              <w:right w:val="single" w:sz="4" w:space="0" w:color="auto"/>
            </w:tcBorders>
            <w:shd w:val="clear" w:color="auto" w:fill="auto"/>
            <w:vAlign w:val="center"/>
            <w:hideMark/>
          </w:tcPr>
          <w:p w14:paraId="5D5614F1"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Dióxido de Carbono</w:t>
            </w:r>
          </w:p>
        </w:tc>
        <w:tc>
          <w:tcPr>
            <w:tcW w:w="1559" w:type="dxa"/>
            <w:tcBorders>
              <w:top w:val="nil"/>
              <w:left w:val="nil"/>
              <w:bottom w:val="single" w:sz="4" w:space="0" w:color="auto"/>
              <w:right w:val="single" w:sz="4" w:space="0" w:color="auto"/>
            </w:tcBorders>
            <w:shd w:val="clear" w:color="auto" w:fill="auto"/>
            <w:vAlign w:val="center"/>
            <w:hideMark/>
          </w:tcPr>
          <w:p w14:paraId="4A6E3CF7"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 xml:space="preserve">Gas de Dióxido de Carbono </w:t>
            </w:r>
          </w:p>
        </w:tc>
        <w:tc>
          <w:tcPr>
            <w:tcW w:w="2126" w:type="dxa"/>
            <w:tcBorders>
              <w:top w:val="nil"/>
              <w:left w:val="nil"/>
              <w:bottom w:val="single" w:sz="4" w:space="0" w:color="auto"/>
              <w:right w:val="single" w:sz="4" w:space="0" w:color="auto"/>
            </w:tcBorders>
            <w:shd w:val="clear" w:color="auto" w:fill="auto"/>
            <w:vAlign w:val="center"/>
            <w:hideMark/>
          </w:tcPr>
          <w:p w14:paraId="02259A4A"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Para uso de estufa de Cultivo Celular y sacrificio de ratones.</w:t>
            </w:r>
          </w:p>
        </w:tc>
        <w:tc>
          <w:tcPr>
            <w:tcW w:w="1418" w:type="dxa"/>
            <w:tcBorders>
              <w:top w:val="nil"/>
              <w:left w:val="nil"/>
              <w:bottom w:val="single" w:sz="4" w:space="0" w:color="auto"/>
              <w:right w:val="single" w:sz="4" w:space="0" w:color="auto"/>
            </w:tcBorders>
            <w:shd w:val="clear" w:color="auto" w:fill="auto"/>
            <w:vAlign w:val="center"/>
            <w:hideMark/>
          </w:tcPr>
          <w:p w14:paraId="779CB217" w14:textId="77777777" w:rsidR="00680B2C" w:rsidRPr="007B6F9A" w:rsidRDefault="00680B2C" w:rsidP="001B2714">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Kilos</w:t>
            </w:r>
          </w:p>
        </w:tc>
        <w:tc>
          <w:tcPr>
            <w:tcW w:w="1843" w:type="dxa"/>
            <w:tcBorders>
              <w:top w:val="nil"/>
              <w:left w:val="nil"/>
              <w:bottom w:val="single" w:sz="4" w:space="0" w:color="auto"/>
              <w:right w:val="single" w:sz="4" w:space="0" w:color="auto"/>
            </w:tcBorders>
            <w:shd w:val="clear" w:color="auto" w:fill="auto"/>
            <w:vAlign w:val="center"/>
            <w:hideMark/>
          </w:tcPr>
          <w:p w14:paraId="516918D0" w14:textId="77777777" w:rsidR="00680B2C" w:rsidRPr="007B6F9A" w:rsidRDefault="00680B2C"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Balón</w:t>
            </w:r>
          </w:p>
        </w:tc>
      </w:tr>
      <w:tr w:rsidR="00680B2C" w:rsidRPr="007B6F9A" w14:paraId="58409719" w14:textId="77777777" w:rsidTr="00F5206B">
        <w:trPr>
          <w:trHeight w:val="7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D455EA"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2</w:t>
            </w:r>
          </w:p>
        </w:tc>
        <w:tc>
          <w:tcPr>
            <w:tcW w:w="1559" w:type="dxa"/>
            <w:tcBorders>
              <w:top w:val="nil"/>
              <w:left w:val="nil"/>
              <w:bottom w:val="single" w:sz="4" w:space="0" w:color="auto"/>
              <w:right w:val="single" w:sz="4" w:space="0" w:color="auto"/>
            </w:tcBorders>
            <w:shd w:val="clear" w:color="auto" w:fill="auto"/>
            <w:vAlign w:val="center"/>
            <w:hideMark/>
          </w:tcPr>
          <w:p w14:paraId="62F0D4B0"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 xml:space="preserve"> Gas acetileno</w:t>
            </w:r>
          </w:p>
        </w:tc>
        <w:tc>
          <w:tcPr>
            <w:tcW w:w="1559" w:type="dxa"/>
            <w:tcBorders>
              <w:top w:val="nil"/>
              <w:left w:val="nil"/>
              <w:bottom w:val="single" w:sz="4" w:space="0" w:color="auto"/>
              <w:right w:val="single" w:sz="4" w:space="0" w:color="auto"/>
            </w:tcBorders>
            <w:shd w:val="clear" w:color="auto" w:fill="auto"/>
            <w:vAlign w:val="center"/>
            <w:hideMark/>
          </w:tcPr>
          <w:p w14:paraId="4C1C4651"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Acetileno Grado Analítico P/AA U 99,999%</w:t>
            </w:r>
          </w:p>
        </w:tc>
        <w:tc>
          <w:tcPr>
            <w:tcW w:w="2126" w:type="dxa"/>
            <w:tcBorders>
              <w:top w:val="nil"/>
              <w:left w:val="nil"/>
              <w:bottom w:val="single" w:sz="4" w:space="0" w:color="auto"/>
              <w:right w:val="single" w:sz="4" w:space="0" w:color="auto"/>
            </w:tcBorders>
            <w:shd w:val="clear" w:color="auto" w:fill="auto"/>
            <w:vAlign w:val="center"/>
            <w:hideMark/>
          </w:tcPr>
          <w:p w14:paraId="73C27E38"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Para determinación analítica por AA</w:t>
            </w:r>
          </w:p>
        </w:tc>
        <w:tc>
          <w:tcPr>
            <w:tcW w:w="1418" w:type="dxa"/>
            <w:tcBorders>
              <w:top w:val="nil"/>
              <w:left w:val="nil"/>
              <w:bottom w:val="single" w:sz="4" w:space="0" w:color="auto"/>
              <w:right w:val="single" w:sz="4" w:space="0" w:color="auto"/>
            </w:tcBorders>
            <w:shd w:val="clear" w:color="auto" w:fill="auto"/>
            <w:vAlign w:val="center"/>
            <w:hideMark/>
          </w:tcPr>
          <w:p w14:paraId="077120A9" w14:textId="77777777" w:rsidR="00680B2C" w:rsidRPr="007B6F9A" w:rsidRDefault="00680B2C" w:rsidP="001B2714">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Kilos</w:t>
            </w:r>
          </w:p>
        </w:tc>
        <w:tc>
          <w:tcPr>
            <w:tcW w:w="1843" w:type="dxa"/>
            <w:tcBorders>
              <w:top w:val="nil"/>
              <w:left w:val="nil"/>
              <w:bottom w:val="single" w:sz="4" w:space="0" w:color="auto"/>
              <w:right w:val="single" w:sz="4" w:space="0" w:color="auto"/>
            </w:tcBorders>
            <w:shd w:val="clear" w:color="auto" w:fill="auto"/>
            <w:vAlign w:val="center"/>
            <w:hideMark/>
          </w:tcPr>
          <w:p w14:paraId="19FE9FAE" w14:textId="77777777" w:rsidR="00680B2C" w:rsidRPr="007B6F9A" w:rsidRDefault="00680B2C" w:rsidP="00605A6D">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Balón</w:t>
            </w:r>
          </w:p>
        </w:tc>
      </w:tr>
      <w:tr w:rsidR="00680B2C" w:rsidRPr="007B6F9A" w14:paraId="05AEB215" w14:textId="77777777" w:rsidTr="00F5206B">
        <w:trPr>
          <w:trHeight w:val="689"/>
        </w:trPr>
        <w:tc>
          <w:tcPr>
            <w:tcW w:w="724" w:type="dxa"/>
            <w:tcBorders>
              <w:top w:val="nil"/>
              <w:left w:val="single" w:sz="4" w:space="0" w:color="auto"/>
              <w:bottom w:val="single" w:sz="4" w:space="0" w:color="auto"/>
              <w:right w:val="single" w:sz="4" w:space="0" w:color="auto"/>
            </w:tcBorders>
            <w:shd w:val="clear" w:color="auto" w:fill="auto"/>
            <w:vAlign w:val="center"/>
          </w:tcPr>
          <w:p w14:paraId="40F17F76"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3</w:t>
            </w:r>
          </w:p>
        </w:tc>
        <w:tc>
          <w:tcPr>
            <w:tcW w:w="1559" w:type="dxa"/>
            <w:tcBorders>
              <w:top w:val="nil"/>
              <w:left w:val="nil"/>
              <w:bottom w:val="single" w:sz="4" w:space="0" w:color="auto"/>
              <w:right w:val="single" w:sz="4" w:space="0" w:color="auto"/>
            </w:tcBorders>
            <w:shd w:val="clear" w:color="auto" w:fill="auto"/>
            <w:vAlign w:val="center"/>
          </w:tcPr>
          <w:p w14:paraId="0BB3A27E"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Helio</w:t>
            </w:r>
          </w:p>
        </w:tc>
        <w:tc>
          <w:tcPr>
            <w:tcW w:w="1559" w:type="dxa"/>
            <w:tcBorders>
              <w:top w:val="nil"/>
              <w:left w:val="nil"/>
              <w:bottom w:val="single" w:sz="4" w:space="0" w:color="auto"/>
              <w:right w:val="single" w:sz="4" w:space="0" w:color="auto"/>
            </w:tcBorders>
            <w:shd w:val="clear" w:color="auto" w:fill="auto"/>
            <w:vAlign w:val="center"/>
          </w:tcPr>
          <w:p w14:paraId="056D8056"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 xml:space="preserve">Gas Helio ultra puro 99.9999%  </w:t>
            </w:r>
          </w:p>
        </w:tc>
        <w:tc>
          <w:tcPr>
            <w:tcW w:w="2126" w:type="dxa"/>
            <w:tcBorders>
              <w:top w:val="nil"/>
              <w:left w:val="nil"/>
              <w:bottom w:val="single" w:sz="4" w:space="0" w:color="auto"/>
              <w:right w:val="single" w:sz="4" w:space="0" w:color="auto"/>
            </w:tcBorders>
            <w:shd w:val="clear" w:color="auto" w:fill="auto"/>
            <w:vAlign w:val="center"/>
          </w:tcPr>
          <w:p w14:paraId="54E11E6F"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H2 99,9999%</w:t>
            </w:r>
          </w:p>
        </w:tc>
        <w:tc>
          <w:tcPr>
            <w:tcW w:w="1418" w:type="dxa"/>
            <w:tcBorders>
              <w:top w:val="nil"/>
              <w:left w:val="nil"/>
              <w:bottom w:val="single" w:sz="4" w:space="0" w:color="auto"/>
              <w:right w:val="single" w:sz="4" w:space="0" w:color="auto"/>
            </w:tcBorders>
            <w:shd w:val="clear" w:color="auto" w:fill="auto"/>
            <w:vAlign w:val="center"/>
          </w:tcPr>
          <w:p w14:paraId="5B597532" w14:textId="77777777" w:rsidR="00680B2C" w:rsidRPr="007B6F9A" w:rsidRDefault="00680B2C" w:rsidP="001B2714">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Metro cubico</w:t>
            </w:r>
          </w:p>
        </w:tc>
        <w:tc>
          <w:tcPr>
            <w:tcW w:w="1843" w:type="dxa"/>
            <w:tcBorders>
              <w:top w:val="nil"/>
              <w:left w:val="nil"/>
              <w:bottom w:val="single" w:sz="4" w:space="0" w:color="auto"/>
              <w:right w:val="single" w:sz="4" w:space="0" w:color="auto"/>
            </w:tcBorders>
            <w:shd w:val="clear" w:color="auto" w:fill="auto"/>
            <w:vAlign w:val="center"/>
          </w:tcPr>
          <w:p w14:paraId="11F1D616" w14:textId="77777777" w:rsidR="00680B2C" w:rsidRPr="007B6F9A" w:rsidRDefault="00680B2C" w:rsidP="00605A6D">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Balón</w:t>
            </w:r>
          </w:p>
        </w:tc>
      </w:tr>
      <w:tr w:rsidR="00680B2C" w:rsidRPr="007B6F9A" w14:paraId="206F13F1" w14:textId="77777777" w:rsidTr="00F5206B">
        <w:trPr>
          <w:trHeight w:val="48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F289ED"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4</w:t>
            </w:r>
          </w:p>
        </w:tc>
        <w:tc>
          <w:tcPr>
            <w:tcW w:w="1559" w:type="dxa"/>
            <w:tcBorders>
              <w:top w:val="nil"/>
              <w:left w:val="nil"/>
              <w:bottom w:val="single" w:sz="4" w:space="0" w:color="auto"/>
              <w:right w:val="single" w:sz="4" w:space="0" w:color="auto"/>
            </w:tcBorders>
            <w:shd w:val="clear" w:color="auto" w:fill="auto"/>
            <w:vAlign w:val="center"/>
            <w:hideMark/>
          </w:tcPr>
          <w:p w14:paraId="08A208B7"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hidrógeno U grado analítico p/GC</w:t>
            </w:r>
          </w:p>
        </w:tc>
        <w:tc>
          <w:tcPr>
            <w:tcW w:w="1559" w:type="dxa"/>
            <w:tcBorders>
              <w:top w:val="nil"/>
              <w:left w:val="nil"/>
              <w:bottom w:val="single" w:sz="4" w:space="0" w:color="auto"/>
              <w:right w:val="single" w:sz="4" w:space="0" w:color="auto"/>
            </w:tcBorders>
            <w:shd w:val="clear" w:color="auto" w:fill="auto"/>
            <w:vAlign w:val="center"/>
            <w:hideMark/>
          </w:tcPr>
          <w:p w14:paraId="4B35101F" w14:textId="77777777" w:rsidR="00680B2C" w:rsidRPr="007B6F9A" w:rsidRDefault="00680B2C" w:rsidP="00C745F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Gas Hidrogeno ultra puro</w:t>
            </w:r>
          </w:p>
        </w:tc>
        <w:tc>
          <w:tcPr>
            <w:tcW w:w="2126" w:type="dxa"/>
            <w:tcBorders>
              <w:top w:val="nil"/>
              <w:left w:val="nil"/>
              <w:bottom w:val="single" w:sz="4" w:space="0" w:color="auto"/>
              <w:right w:val="single" w:sz="4" w:space="0" w:color="auto"/>
            </w:tcBorders>
            <w:shd w:val="clear" w:color="auto" w:fill="auto"/>
            <w:vAlign w:val="center"/>
            <w:hideMark/>
          </w:tcPr>
          <w:p w14:paraId="4DB86594"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H2 99,9999%</w:t>
            </w:r>
          </w:p>
        </w:tc>
        <w:tc>
          <w:tcPr>
            <w:tcW w:w="1418" w:type="dxa"/>
            <w:tcBorders>
              <w:top w:val="nil"/>
              <w:left w:val="nil"/>
              <w:bottom w:val="single" w:sz="4" w:space="0" w:color="auto"/>
              <w:right w:val="single" w:sz="4" w:space="0" w:color="auto"/>
            </w:tcBorders>
            <w:shd w:val="clear" w:color="auto" w:fill="auto"/>
            <w:vAlign w:val="center"/>
            <w:hideMark/>
          </w:tcPr>
          <w:p w14:paraId="361DC352" w14:textId="77777777" w:rsidR="00680B2C" w:rsidRPr="007B6F9A" w:rsidRDefault="00680B2C" w:rsidP="001B2714">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Metro cubico</w:t>
            </w:r>
          </w:p>
        </w:tc>
        <w:tc>
          <w:tcPr>
            <w:tcW w:w="1843" w:type="dxa"/>
            <w:tcBorders>
              <w:top w:val="nil"/>
              <w:left w:val="nil"/>
              <w:bottom w:val="single" w:sz="4" w:space="0" w:color="auto"/>
              <w:right w:val="single" w:sz="4" w:space="0" w:color="auto"/>
            </w:tcBorders>
            <w:shd w:val="clear" w:color="auto" w:fill="auto"/>
            <w:vAlign w:val="center"/>
            <w:hideMark/>
          </w:tcPr>
          <w:p w14:paraId="2EDAF17D" w14:textId="77777777" w:rsidR="00680B2C" w:rsidRPr="007B6F9A" w:rsidRDefault="00680B2C" w:rsidP="00605A6D">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Balón</w:t>
            </w:r>
          </w:p>
        </w:tc>
      </w:tr>
      <w:tr w:rsidR="00680B2C" w:rsidRPr="007B6F9A" w14:paraId="2DEDB858"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CBB9F"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6B001"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líquido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FEB1020"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Nitrógeno líquido</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7D65578" w14:textId="77777777" w:rsidR="00680B2C" w:rsidRPr="007B6F9A" w:rsidRDefault="00680B2C" w:rsidP="00C745FB">
            <w:pPr>
              <w:pStyle w:val="SectionVIHeader"/>
              <w:spacing w:after="0" w:line="240" w:lineRule="auto"/>
              <w:rPr>
                <w:rFonts w:ascii="Arial" w:hAnsi="Arial" w:cs="Arial"/>
                <w:b w:val="0"/>
                <w:i/>
                <w:sz w:val="20"/>
                <w:szCs w:val="20"/>
                <w:lang w:val="es-PY"/>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99BF21" w14:textId="77777777" w:rsidR="00680B2C" w:rsidRPr="007B6F9A" w:rsidRDefault="00680B2C" w:rsidP="001B2714">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L</w:t>
            </w:r>
            <w:r w:rsidRPr="007B6F9A">
              <w:rPr>
                <w:rFonts w:ascii="Arial" w:hAnsi="Arial" w:cs="Arial"/>
                <w:b w:val="0"/>
                <w:i/>
                <w:sz w:val="20"/>
                <w:szCs w:val="20"/>
                <w:lang w:val="es-PY"/>
              </w:rPr>
              <w:t>itros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94602FF" w14:textId="77777777" w:rsidR="00680B2C" w:rsidRPr="007B6F9A" w:rsidRDefault="00680B2C"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Termo</w:t>
            </w:r>
          </w:p>
        </w:tc>
      </w:tr>
      <w:tr w:rsidR="00680B2C" w:rsidRPr="007B6F9A" w14:paraId="406261EA"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5DB4B"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7A7F20"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Analítico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6BAEE9"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Gas Nitrógeno Ultra Puro</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4221B02" w14:textId="77777777" w:rsidR="00680B2C" w:rsidRPr="007B6F9A" w:rsidRDefault="00680B2C" w:rsidP="00C745FB">
            <w:pPr>
              <w:pStyle w:val="SectionVIHeader"/>
              <w:spacing w:after="0" w:line="240" w:lineRule="auto"/>
              <w:rPr>
                <w:rFonts w:ascii="Arial" w:hAnsi="Arial" w:cs="Arial"/>
                <w:b w:val="0"/>
                <w:i/>
                <w:sz w:val="20"/>
                <w:szCs w:val="20"/>
                <w:lang w:val="es-PY"/>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B72C0AB" w14:textId="77777777" w:rsidR="00680B2C" w:rsidRPr="007B6F9A" w:rsidRDefault="00680B2C" w:rsidP="001B2714">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Metro cubico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C5628A6" w14:textId="77777777" w:rsidR="00680B2C" w:rsidRPr="007B6F9A" w:rsidRDefault="00680B2C"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Balón</w:t>
            </w:r>
          </w:p>
        </w:tc>
      </w:tr>
      <w:tr w:rsidR="00680B2C" w:rsidRPr="007B6F9A" w14:paraId="42AD3B2C"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205B" w14:textId="77777777" w:rsidR="00680B2C" w:rsidRPr="007B6F9A" w:rsidRDefault="00680B2C" w:rsidP="00F56F30">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0D0E70" w14:textId="77777777" w:rsidR="00680B2C" w:rsidRPr="007B6F9A" w:rsidRDefault="00680B2C" w:rsidP="00F5206B">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Gaseoso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EFAE31" w14:textId="77777777" w:rsidR="00680B2C" w:rsidRPr="007B6F9A" w:rsidRDefault="00680B2C" w:rsidP="00C745FB">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Gas Nitrógeno grado industrial</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5FA3691" w14:textId="77777777" w:rsidR="00680B2C" w:rsidRPr="007B6F9A" w:rsidRDefault="00680B2C" w:rsidP="00C745FB">
            <w:pPr>
              <w:pStyle w:val="SectionVIHeader"/>
              <w:spacing w:after="0" w:line="240" w:lineRule="auto"/>
              <w:rPr>
                <w:rFonts w:ascii="Arial" w:hAnsi="Arial" w:cs="Arial"/>
                <w:b w:val="0"/>
                <w:i/>
                <w:sz w:val="20"/>
                <w:szCs w:val="20"/>
                <w:lang w:val="es-PY"/>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0C04F5" w14:textId="77777777" w:rsidR="00680B2C" w:rsidRPr="007B6F9A" w:rsidRDefault="00680B2C" w:rsidP="001B2714">
            <w:pPr>
              <w:pStyle w:val="SectionVIHeader"/>
              <w:spacing w:after="0" w:line="240" w:lineRule="auto"/>
              <w:rPr>
                <w:rFonts w:ascii="Arial" w:hAnsi="Arial" w:cs="Arial"/>
                <w:b w:val="0"/>
                <w:i/>
                <w:sz w:val="20"/>
                <w:szCs w:val="20"/>
                <w:lang w:val="es-PY"/>
              </w:rPr>
            </w:pPr>
            <w:r w:rsidRPr="007B6F9A">
              <w:rPr>
                <w:rFonts w:ascii="Arial" w:hAnsi="Arial" w:cs="Arial"/>
                <w:b w:val="0"/>
                <w:i/>
                <w:sz w:val="20"/>
                <w:szCs w:val="20"/>
                <w:lang w:val="es-PY"/>
              </w:rPr>
              <w:t>Metro cubico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7271DC0" w14:textId="77777777" w:rsidR="00680B2C" w:rsidRPr="007B6F9A" w:rsidRDefault="00680B2C"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Balón</w:t>
            </w:r>
          </w:p>
        </w:tc>
      </w:tr>
      <w:tr w:rsidR="00D842A0" w:rsidRPr="007B6F9A" w14:paraId="493BA989"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3738D79F" w14:textId="7858D40E" w:rsidR="00D842A0" w:rsidRPr="007B6F9A" w:rsidRDefault="00D842A0" w:rsidP="00F56F30">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8</w:t>
            </w:r>
          </w:p>
        </w:tc>
        <w:tc>
          <w:tcPr>
            <w:tcW w:w="1559" w:type="dxa"/>
            <w:tcBorders>
              <w:top w:val="single" w:sz="4" w:space="0" w:color="auto"/>
              <w:left w:val="nil"/>
              <w:bottom w:val="single" w:sz="4" w:space="0" w:color="auto"/>
              <w:right w:val="single" w:sz="4" w:space="0" w:color="auto"/>
            </w:tcBorders>
            <w:shd w:val="clear" w:color="auto" w:fill="auto"/>
            <w:vAlign w:val="center"/>
          </w:tcPr>
          <w:p w14:paraId="1AB4C9CE" w14:textId="6AD00725" w:rsidR="00D842A0" w:rsidRPr="007B6F9A" w:rsidRDefault="00D842A0" w:rsidP="00F5206B">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 xml:space="preserve">Argón Grado Analítico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4AE9704" w14:textId="35A9137E" w:rsidR="00D842A0" w:rsidRPr="007B6F9A" w:rsidRDefault="00D842A0" w:rsidP="00C745F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Gas Argón ultra puro 99,999% de pureza</w:t>
            </w:r>
          </w:p>
        </w:tc>
        <w:tc>
          <w:tcPr>
            <w:tcW w:w="2126" w:type="dxa"/>
            <w:tcBorders>
              <w:top w:val="single" w:sz="4" w:space="0" w:color="auto"/>
              <w:left w:val="nil"/>
              <w:bottom w:val="single" w:sz="4" w:space="0" w:color="auto"/>
              <w:right w:val="single" w:sz="4" w:space="0" w:color="auto"/>
            </w:tcBorders>
            <w:shd w:val="clear" w:color="auto" w:fill="auto"/>
            <w:vAlign w:val="center"/>
          </w:tcPr>
          <w:p w14:paraId="58E42A40" w14:textId="77777777" w:rsidR="00D842A0" w:rsidRPr="007B6F9A" w:rsidRDefault="00D842A0" w:rsidP="00C745FB">
            <w:pPr>
              <w:pStyle w:val="SectionVIHeader"/>
              <w:spacing w:after="0" w:line="240" w:lineRule="auto"/>
              <w:rPr>
                <w:rFonts w:ascii="Arial" w:hAnsi="Arial" w:cs="Arial"/>
                <w:b w:val="0"/>
                <w:i/>
                <w:sz w:val="20"/>
                <w:szCs w:val="20"/>
                <w:lang w:val="es-PY"/>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4435C320" w14:textId="320A88C3" w:rsidR="00D842A0" w:rsidRPr="007B6F9A" w:rsidRDefault="001B2714" w:rsidP="00C745FB">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 xml:space="preserve">Metro cubico </w:t>
            </w:r>
          </w:p>
        </w:tc>
        <w:tc>
          <w:tcPr>
            <w:tcW w:w="1843" w:type="dxa"/>
            <w:tcBorders>
              <w:top w:val="single" w:sz="4" w:space="0" w:color="auto"/>
              <w:left w:val="nil"/>
              <w:bottom w:val="single" w:sz="4" w:space="0" w:color="auto"/>
              <w:right w:val="single" w:sz="4" w:space="0" w:color="auto"/>
            </w:tcBorders>
            <w:shd w:val="clear" w:color="auto" w:fill="auto"/>
            <w:vAlign w:val="center"/>
          </w:tcPr>
          <w:p w14:paraId="5D8B6F5A" w14:textId="32742113" w:rsidR="00D842A0" w:rsidRDefault="001B2714" w:rsidP="001B2714">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Balón</w:t>
            </w:r>
          </w:p>
        </w:tc>
      </w:tr>
      <w:tr w:rsidR="00D842A0" w:rsidRPr="007B6F9A" w14:paraId="6751BE8D"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7AA65CB7" w14:textId="02CC22D6" w:rsidR="00D842A0" w:rsidRPr="007B6F9A" w:rsidRDefault="00D842A0" w:rsidP="00F56F30">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9</w:t>
            </w:r>
          </w:p>
        </w:tc>
        <w:tc>
          <w:tcPr>
            <w:tcW w:w="1559" w:type="dxa"/>
            <w:tcBorders>
              <w:top w:val="single" w:sz="4" w:space="0" w:color="auto"/>
              <w:left w:val="nil"/>
              <w:bottom w:val="single" w:sz="4" w:space="0" w:color="auto"/>
              <w:right w:val="single" w:sz="4" w:space="0" w:color="auto"/>
            </w:tcBorders>
            <w:shd w:val="clear" w:color="auto" w:fill="auto"/>
            <w:vAlign w:val="center"/>
          </w:tcPr>
          <w:p w14:paraId="5B3FDB74" w14:textId="2DA9D9F4" w:rsidR="00D842A0" w:rsidRPr="007B6F9A" w:rsidRDefault="00D842A0" w:rsidP="00F5206B">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Gas Refrigerante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BD2DE76" w14:textId="5DCC5F39" w:rsidR="00D842A0" w:rsidRPr="007B6F9A" w:rsidRDefault="00D842A0" w:rsidP="00F5206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 xml:space="preserve">Refrigerante para acondicionadores de aire y </w:t>
            </w:r>
            <w:r>
              <w:rPr>
                <w:rFonts w:ascii="Arial" w:hAnsi="Arial" w:cs="Arial"/>
                <w:b w:val="0"/>
                <w:i/>
                <w:sz w:val="20"/>
                <w:szCs w:val="20"/>
                <w:lang w:val="es-PY"/>
              </w:rPr>
              <w:lastRenderedPageBreak/>
              <w:t>equipos de frio, presentados</w:t>
            </w:r>
            <w:r w:rsidR="00613AE5">
              <w:rPr>
                <w:rFonts w:ascii="Arial" w:hAnsi="Arial" w:cs="Arial"/>
                <w:b w:val="0"/>
                <w:i/>
                <w:sz w:val="20"/>
                <w:szCs w:val="20"/>
                <w:lang w:val="es-PY"/>
              </w:rPr>
              <w:t xml:space="preserve"> en tubos descartables nuevos </w:t>
            </w:r>
          </w:p>
        </w:tc>
        <w:tc>
          <w:tcPr>
            <w:tcW w:w="2126" w:type="dxa"/>
            <w:tcBorders>
              <w:top w:val="single" w:sz="4" w:space="0" w:color="auto"/>
              <w:left w:val="nil"/>
              <w:bottom w:val="single" w:sz="4" w:space="0" w:color="auto"/>
              <w:right w:val="single" w:sz="4" w:space="0" w:color="auto"/>
            </w:tcBorders>
            <w:shd w:val="clear" w:color="auto" w:fill="auto"/>
            <w:vAlign w:val="center"/>
          </w:tcPr>
          <w:p w14:paraId="23AD2F3C" w14:textId="534ECC51" w:rsidR="00D842A0" w:rsidRPr="007B6F9A" w:rsidRDefault="00613AE5" w:rsidP="00C745F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lastRenderedPageBreak/>
              <w:t xml:space="preserve">R-410A. </w:t>
            </w:r>
            <w:proofErr w:type="spellStart"/>
            <w:r>
              <w:rPr>
                <w:rFonts w:ascii="Arial" w:hAnsi="Arial" w:cs="Arial"/>
                <w:b w:val="0"/>
                <w:i/>
                <w:sz w:val="20"/>
                <w:szCs w:val="20"/>
                <w:lang w:val="es-PY"/>
              </w:rPr>
              <w:t>difluorometano,pentafluoroetano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tcPr>
          <w:p w14:paraId="45F9C685" w14:textId="274F8D5B" w:rsidR="00D842A0" w:rsidRPr="007B6F9A" w:rsidRDefault="00605A6D"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Kilos</w:t>
            </w:r>
          </w:p>
        </w:tc>
        <w:tc>
          <w:tcPr>
            <w:tcW w:w="1843" w:type="dxa"/>
            <w:tcBorders>
              <w:top w:val="single" w:sz="4" w:space="0" w:color="auto"/>
              <w:left w:val="nil"/>
              <w:bottom w:val="single" w:sz="4" w:space="0" w:color="auto"/>
              <w:right w:val="single" w:sz="4" w:space="0" w:color="auto"/>
            </w:tcBorders>
            <w:shd w:val="clear" w:color="auto" w:fill="auto"/>
            <w:vAlign w:val="center"/>
          </w:tcPr>
          <w:p w14:paraId="1A41BF39" w14:textId="16D542BC" w:rsidR="00D842A0" w:rsidRDefault="00F56F30"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T</w:t>
            </w:r>
            <w:r w:rsidR="00605A6D">
              <w:rPr>
                <w:rFonts w:ascii="Arial" w:hAnsi="Arial" w:cs="Arial"/>
                <w:b w:val="0"/>
                <w:i/>
                <w:sz w:val="20"/>
                <w:szCs w:val="20"/>
                <w:lang w:val="es-PY"/>
              </w:rPr>
              <w:t>ubo</w:t>
            </w:r>
          </w:p>
        </w:tc>
      </w:tr>
      <w:tr w:rsidR="00D842A0" w:rsidRPr="007B6F9A" w14:paraId="73C2197D" w14:textId="77777777" w:rsidTr="00F5206B">
        <w:trPr>
          <w:trHeight w:val="48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12E0B11F" w14:textId="664AA9C1" w:rsidR="00D842A0" w:rsidRPr="007B6F9A" w:rsidRDefault="00D842A0" w:rsidP="00F56F30">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lastRenderedPageBreak/>
              <w:t>10</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F7ABBB" w14:textId="7EDCE823" w:rsidR="00D842A0" w:rsidRPr="007B6F9A" w:rsidRDefault="00D842A0" w:rsidP="00F5206B">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Gas Refrigerante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8840AFC" w14:textId="046DFF74" w:rsidR="00D842A0" w:rsidRPr="007B6F9A" w:rsidRDefault="00613AE5" w:rsidP="00F5206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 xml:space="preserve">Refrigerante para acondicionadores de aire y equipos de frio, presentados en tubos descartables nuevos </w:t>
            </w:r>
          </w:p>
        </w:tc>
        <w:tc>
          <w:tcPr>
            <w:tcW w:w="2126" w:type="dxa"/>
            <w:tcBorders>
              <w:top w:val="single" w:sz="4" w:space="0" w:color="auto"/>
              <w:left w:val="nil"/>
              <w:bottom w:val="single" w:sz="4" w:space="0" w:color="auto"/>
              <w:right w:val="single" w:sz="4" w:space="0" w:color="auto"/>
            </w:tcBorders>
            <w:shd w:val="clear" w:color="auto" w:fill="auto"/>
            <w:vAlign w:val="center"/>
          </w:tcPr>
          <w:p w14:paraId="0CA64E86" w14:textId="65FA07C3" w:rsidR="00D842A0" w:rsidRPr="007B6F9A" w:rsidRDefault="00613AE5" w:rsidP="00C745FB">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 xml:space="preserve">R – 22 cloro - </w:t>
            </w:r>
            <w:proofErr w:type="spellStart"/>
            <w:r>
              <w:rPr>
                <w:rFonts w:ascii="Arial" w:hAnsi="Arial" w:cs="Arial"/>
                <w:b w:val="0"/>
                <w:i/>
                <w:sz w:val="20"/>
                <w:szCs w:val="20"/>
                <w:lang w:val="es-PY"/>
              </w:rPr>
              <w:t>difluorometano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tcPr>
          <w:p w14:paraId="631F3083" w14:textId="3684D2A0" w:rsidR="00D842A0" w:rsidRPr="007B6F9A" w:rsidRDefault="00605A6D"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Kilos</w:t>
            </w:r>
          </w:p>
        </w:tc>
        <w:tc>
          <w:tcPr>
            <w:tcW w:w="1843" w:type="dxa"/>
            <w:tcBorders>
              <w:top w:val="single" w:sz="4" w:space="0" w:color="auto"/>
              <w:left w:val="nil"/>
              <w:bottom w:val="single" w:sz="4" w:space="0" w:color="auto"/>
              <w:right w:val="single" w:sz="4" w:space="0" w:color="auto"/>
            </w:tcBorders>
            <w:shd w:val="clear" w:color="auto" w:fill="auto"/>
            <w:vAlign w:val="center"/>
          </w:tcPr>
          <w:p w14:paraId="3E94F685" w14:textId="26625CF3" w:rsidR="00D842A0" w:rsidRDefault="00F56F30" w:rsidP="00605A6D">
            <w:pPr>
              <w:pStyle w:val="SectionVIHeader"/>
              <w:spacing w:after="0" w:line="240" w:lineRule="auto"/>
              <w:rPr>
                <w:rFonts w:ascii="Arial" w:hAnsi="Arial" w:cs="Arial"/>
                <w:b w:val="0"/>
                <w:i/>
                <w:sz w:val="20"/>
                <w:szCs w:val="20"/>
                <w:lang w:val="es-PY"/>
              </w:rPr>
            </w:pPr>
            <w:r>
              <w:rPr>
                <w:rFonts w:ascii="Arial" w:hAnsi="Arial" w:cs="Arial"/>
                <w:b w:val="0"/>
                <w:i/>
                <w:sz w:val="20"/>
                <w:szCs w:val="20"/>
                <w:lang w:val="es-PY"/>
              </w:rPr>
              <w:t>T</w:t>
            </w:r>
            <w:r w:rsidR="00605A6D">
              <w:rPr>
                <w:rFonts w:ascii="Arial" w:hAnsi="Arial" w:cs="Arial"/>
                <w:b w:val="0"/>
                <w:i/>
                <w:sz w:val="20"/>
                <w:szCs w:val="20"/>
                <w:lang w:val="es-PY"/>
              </w:rPr>
              <w:t>ubo</w:t>
            </w:r>
          </w:p>
        </w:tc>
      </w:tr>
    </w:tbl>
    <w:p w14:paraId="7BE9F8D4" w14:textId="7334D1CA" w:rsidR="001B2714" w:rsidRDefault="00473AE7" w:rsidP="001B2714">
      <w:pPr>
        <w:rPr>
          <w:rFonts w:ascii="Arial" w:eastAsia="Times New Roman" w:hAnsi="Arial" w:cs="Arial"/>
          <w:b/>
          <w:lang w:val="es-ES_tradnl"/>
        </w:rPr>
      </w:pPr>
      <w:r>
        <w:rPr>
          <w:rFonts w:ascii="Arial" w:eastAsia="Times New Roman" w:hAnsi="Arial" w:cs="Arial"/>
          <w:b/>
          <w:lang w:val="es-ES_tradnl"/>
        </w:rPr>
        <w:t xml:space="preserve"> </w:t>
      </w:r>
    </w:p>
    <w:p w14:paraId="4C6116DC" w14:textId="7AD012A3" w:rsidR="00473AE7" w:rsidRDefault="00CB1C75" w:rsidP="001B2714">
      <w:pPr>
        <w:rPr>
          <w:rFonts w:ascii="Arial" w:eastAsia="Times New Roman" w:hAnsi="Arial" w:cs="Arial"/>
          <w:b/>
          <w:lang w:val="es-ES_tradnl"/>
        </w:rPr>
      </w:pPr>
      <w:r>
        <w:rPr>
          <w:rFonts w:ascii="Arial" w:eastAsia="Times New Roman" w:hAnsi="Arial" w:cs="Arial"/>
          <w:b/>
          <w:highlight w:val="yellow"/>
          <w:lang w:val="es-ES_tradnl"/>
        </w:rPr>
        <w:t>OBS: Los Ítems 9 y</w:t>
      </w:r>
      <w:r w:rsidR="00473AE7" w:rsidRPr="00CB1C75">
        <w:rPr>
          <w:rFonts w:ascii="Arial" w:eastAsia="Times New Roman" w:hAnsi="Arial" w:cs="Arial"/>
          <w:b/>
          <w:highlight w:val="yellow"/>
          <w:lang w:val="es-ES_tradnl"/>
        </w:rPr>
        <w:t xml:space="preserve"> 10 </w:t>
      </w:r>
      <w:r w:rsidR="005C315A" w:rsidRPr="00CB1C75">
        <w:rPr>
          <w:rFonts w:ascii="Arial" w:eastAsia="Times New Roman" w:hAnsi="Arial" w:cs="Arial"/>
          <w:b/>
          <w:highlight w:val="yellow"/>
          <w:lang w:val="es-ES_tradnl"/>
        </w:rPr>
        <w:t xml:space="preserve">deberán ajustarse a las disposiciones legales </w:t>
      </w:r>
      <w:r w:rsidR="00AF1635" w:rsidRPr="00CB1C75">
        <w:rPr>
          <w:rFonts w:ascii="Arial" w:eastAsia="Times New Roman" w:hAnsi="Arial" w:cs="Arial"/>
          <w:b/>
          <w:highlight w:val="yellow"/>
          <w:lang w:val="es-ES_tradnl"/>
        </w:rPr>
        <w:t>contenidas en la ley 5211/14 “De Calidad de Aire</w:t>
      </w:r>
      <w:r w:rsidRPr="00CB1C75">
        <w:rPr>
          <w:rFonts w:ascii="Arial" w:eastAsia="Times New Roman" w:hAnsi="Arial" w:cs="Arial"/>
          <w:b/>
          <w:highlight w:val="yellow"/>
          <w:lang w:val="es-ES_tradnl"/>
        </w:rPr>
        <w:t>”, el Decreto N° 12685/08 “Reglamento de Control de Sustancias Agotadoras de la Capa de Ozono y el uso de Tecnologías Alternativas”, y la Resolución N° 1242/</w:t>
      </w:r>
      <w:r w:rsidR="00DC7B8C">
        <w:rPr>
          <w:rFonts w:ascii="Arial" w:eastAsia="Times New Roman" w:hAnsi="Arial" w:cs="Arial"/>
          <w:b/>
          <w:highlight w:val="yellow"/>
          <w:lang w:val="es-ES_tradnl"/>
        </w:rPr>
        <w:t>14 de fecha 3 de octubre de 201</w:t>
      </w:r>
      <w:r w:rsidRPr="00CB1C75">
        <w:rPr>
          <w:rFonts w:ascii="Arial" w:eastAsia="Times New Roman" w:hAnsi="Arial" w:cs="Arial"/>
          <w:b/>
          <w:highlight w:val="yellow"/>
          <w:lang w:val="es-ES_tradnl"/>
        </w:rPr>
        <w:t>4 dictada por la Secretaria del Ambiente.</w:t>
      </w:r>
    </w:p>
    <w:p w14:paraId="7E1F38C8" w14:textId="0055F022" w:rsidR="00C51961" w:rsidRPr="001B2714" w:rsidRDefault="00C51961" w:rsidP="001B2714">
      <w:pPr>
        <w:rPr>
          <w:rFonts w:ascii="Arial" w:eastAsia="Times New Roman" w:hAnsi="Arial" w:cs="Arial"/>
          <w:b/>
          <w:i/>
          <w:lang w:val="en-US" w:eastAsia="es-PY"/>
        </w:rPr>
      </w:pPr>
      <w:r w:rsidRPr="00C51961">
        <w:rPr>
          <w:rFonts w:ascii="Arial" w:eastAsia="Times New Roman" w:hAnsi="Arial" w:cs="Arial"/>
          <w:b/>
          <w:lang w:val="es-ES_tradnl"/>
        </w:rPr>
        <w:t xml:space="preserve">1.3 </w:t>
      </w:r>
      <w:r w:rsidRPr="00C51961">
        <w:rPr>
          <w:rFonts w:ascii="Arial" w:eastAsia="Times New Roman" w:hAnsi="Arial" w:cs="Arial"/>
          <w:b/>
          <w:u w:val="single"/>
          <w:lang w:val="es-ES_tradnl"/>
        </w:rPr>
        <w:t xml:space="preserve">COMPOSICION DE PRECIOS </w:t>
      </w:r>
    </w:p>
    <w:p w14:paraId="37662339" w14:textId="735E364C" w:rsidR="00C51961" w:rsidRPr="00C51961" w:rsidRDefault="00C51961" w:rsidP="00C51961">
      <w:pPr>
        <w:spacing w:after="0" w:line="240" w:lineRule="auto"/>
        <w:rPr>
          <w:rFonts w:ascii="Arial" w:eastAsia="Times New Roman" w:hAnsi="Arial" w:cs="Arial"/>
          <w:b/>
          <w:i/>
          <w:sz w:val="16"/>
          <w:szCs w:val="16"/>
          <w:lang w:eastAsia="es-PY"/>
        </w:rPr>
      </w:pPr>
    </w:p>
    <w:p w14:paraId="646204B1" w14:textId="77777777" w:rsidR="00C51961" w:rsidRPr="00C51961" w:rsidRDefault="00C51961" w:rsidP="00C51961">
      <w:pPr>
        <w:spacing w:after="0" w:line="240" w:lineRule="auto"/>
        <w:jc w:val="both"/>
        <w:rPr>
          <w:rFonts w:ascii="Arial" w:eastAsia="Times New Roman" w:hAnsi="Arial" w:cs="Arial"/>
          <w:i/>
          <w:lang w:eastAsia="es-PY"/>
        </w:rPr>
      </w:pPr>
      <w:r w:rsidRPr="00C51961">
        <w:rPr>
          <w:rFonts w:ascii="Arial" w:eastAsia="Times New Roman" w:hAnsi="Arial" w:cs="Arial"/>
          <w:i/>
          <w:lang w:eastAsia="es-PY"/>
        </w:rPr>
        <w:t>En los precios cotizados deberán estar incluidos todos los gastos de cualquier naturaleza referente a la adquisición de los bienes objeto de esta Contratación, así como el transporte, estiba y desestiba. Impuestos, el SENACSA no reconocerá ningún ajuste en los precios presentados en la planilla de cotización de precios, salvo por cláusulas de reajuste</w:t>
      </w:r>
    </w:p>
    <w:p w14:paraId="1F5AE2FA" w14:textId="77777777" w:rsidR="00C51961" w:rsidRPr="00C51961" w:rsidRDefault="00C51961" w:rsidP="00C51961">
      <w:pPr>
        <w:spacing w:after="0" w:line="240" w:lineRule="auto"/>
        <w:jc w:val="both"/>
        <w:rPr>
          <w:rFonts w:ascii="Arial" w:eastAsia="Times New Roman" w:hAnsi="Arial" w:cs="Arial"/>
          <w:i/>
          <w:lang w:eastAsia="es-PY"/>
        </w:rPr>
      </w:pPr>
    </w:p>
    <w:p w14:paraId="68C75A92" w14:textId="2F9EB164" w:rsidR="00C51961" w:rsidRPr="00C74B4B" w:rsidRDefault="00C51961" w:rsidP="00E0302C">
      <w:pPr>
        <w:pStyle w:val="SectionVIHeader"/>
        <w:spacing w:before="0" w:after="0" w:line="360" w:lineRule="auto"/>
        <w:jc w:val="left"/>
        <w:rPr>
          <w:rFonts w:ascii="Arial" w:hAnsi="Arial" w:cs="Arial"/>
          <w:b w:val="0"/>
          <w:bCs w:val="0"/>
          <w:sz w:val="22"/>
          <w:szCs w:val="20"/>
          <w:u w:val="single"/>
          <w:lang w:val="es-ES"/>
        </w:rPr>
      </w:pP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tbl>
      <w:tblPr>
        <w:tblW w:w="8804" w:type="dxa"/>
        <w:tblInd w:w="55" w:type="dxa"/>
        <w:tblCellMar>
          <w:left w:w="70" w:type="dxa"/>
          <w:right w:w="70" w:type="dxa"/>
        </w:tblCellMar>
        <w:tblLook w:val="04A0" w:firstRow="1" w:lastRow="0" w:firstColumn="1" w:lastColumn="0" w:noHBand="0" w:noVBand="1"/>
      </w:tblPr>
      <w:tblGrid>
        <w:gridCol w:w="671"/>
        <w:gridCol w:w="1896"/>
        <w:gridCol w:w="3260"/>
        <w:gridCol w:w="2977"/>
      </w:tblGrid>
      <w:tr w:rsidR="001B2714" w:rsidRPr="007B6F9A" w14:paraId="782E21EC" w14:textId="77777777" w:rsidTr="00C745FB">
        <w:trPr>
          <w:trHeight w:val="1072"/>
        </w:trPr>
        <w:tc>
          <w:tcPr>
            <w:tcW w:w="671" w:type="dxa"/>
            <w:vMerge w:val="restart"/>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09769FB8" w14:textId="77777777" w:rsidR="001B2714" w:rsidRPr="007B6F9A" w:rsidRDefault="001B2714" w:rsidP="00C745FB">
            <w:pPr>
              <w:spacing w:before="100" w:beforeAutospacing="1" w:after="100" w:afterAutospacing="1" w:line="240" w:lineRule="auto"/>
              <w:jc w:val="center"/>
              <w:rPr>
                <w:rFonts w:ascii="Arial" w:eastAsia="Times New Roman" w:hAnsi="Arial" w:cs="Arial"/>
                <w:b/>
                <w:bCs/>
                <w:i/>
                <w:lang w:eastAsia="es-PY"/>
              </w:rPr>
            </w:pPr>
            <w:r w:rsidRPr="007B6F9A">
              <w:rPr>
                <w:rFonts w:ascii="Arial" w:eastAsia="Times New Roman" w:hAnsi="Arial" w:cs="Arial"/>
                <w:b/>
                <w:bCs/>
                <w:i/>
                <w:lang w:eastAsia="es-PY"/>
              </w:rPr>
              <w:t>ITEM</w:t>
            </w:r>
          </w:p>
        </w:tc>
        <w:tc>
          <w:tcPr>
            <w:tcW w:w="1896" w:type="dxa"/>
            <w:vMerge w:val="restart"/>
            <w:tcBorders>
              <w:top w:val="single" w:sz="4" w:space="0" w:color="auto"/>
              <w:left w:val="single" w:sz="4" w:space="0" w:color="auto"/>
              <w:bottom w:val="single" w:sz="4" w:space="0" w:color="000000"/>
              <w:right w:val="single" w:sz="4" w:space="0" w:color="auto"/>
            </w:tcBorders>
            <w:shd w:val="clear" w:color="auto" w:fill="CCC0D9" w:themeFill="accent4" w:themeFillTint="66"/>
            <w:vAlign w:val="center"/>
            <w:hideMark/>
          </w:tcPr>
          <w:p w14:paraId="26DA1217" w14:textId="77777777" w:rsidR="001B2714" w:rsidRPr="007B6F9A" w:rsidRDefault="001B2714" w:rsidP="00C745FB">
            <w:pPr>
              <w:spacing w:before="100" w:beforeAutospacing="1" w:after="100" w:afterAutospacing="1" w:line="240" w:lineRule="auto"/>
              <w:jc w:val="center"/>
              <w:rPr>
                <w:rFonts w:ascii="Arial" w:eastAsia="Times New Roman" w:hAnsi="Arial" w:cs="Arial"/>
                <w:b/>
                <w:bCs/>
                <w:i/>
                <w:lang w:eastAsia="es-PY"/>
              </w:rPr>
            </w:pPr>
            <w:r w:rsidRPr="007B6F9A">
              <w:rPr>
                <w:rFonts w:ascii="Arial" w:eastAsia="Times New Roman" w:hAnsi="Arial" w:cs="Arial"/>
                <w:b/>
                <w:bCs/>
                <w:i/>
                <w:lang w:eastAsia="es-PY"/>
              </w:rPr>
              <w:t xml:space="preserve">Descripción </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16F4B155" w14:textId="77777777" w:rsidR="001B2714" w:rsidRPr="007B6F9A" w:rsidRDefault="001B2714" w:rsidP="00C745FB">
            <w:pPr>
              <w:spacing w:before="100" w:beforeAutospacing="1" w:after="100" w:afterAutospacing="1" w:line="240" w:lineRule="auto"/>
              <w:jc w:val="center"/>
              <w:rPr>
                <w:rFonts w:ascii="Arial" w:eastAsia="Times New Roman" w:hAnsi="Arial" w:cs="Arial"/>
                <w:b/>
                <w:bCs/>
                <w:i/>
                <w:lang w:eastAsia="es-PY"/>
              </w:rPr>
            </w:pPr>
            <w:r w:rsidRPr="007B6F9A">
              <w:rPr>
                <w:rFonts w:ascii="Arial" w:eastAsia="Times New Roman" w:hAnsi="Arial" w:cs="Arial"/>
                <w:b/>
                <w:bCs/>
                <w:i/>
                <w:lang w:eastAsia="es-PY"/>
              </w:rPr>
              <w:t>Lugar de Entrega de los Bienes</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4443CD77" w14:textId="77777777" w:rsidR="001B2714" w:rsidRPr="007B6F9A" w:rsidRDefault="001B2714" w:rsidP="00C745FB">
            <w:pPr>
              <w:spacing w:before="100" w:beforeAutospacing="1" w:after="100" w:afterAutospacing="1" w:line="240" w:lineRule="auto"/>
              <w:jc w:val="center"/>
              <w:rPr>
                <w:rFonts w:ascii="Arial" w:eastAsia="Times New Roman" w:hAnsi="Arial" w:cs="Arial"/>
                <w:b/>
                <w:bCs/>
                <w:i/>
                <w:lang w:eastAsia="es-PY"/>
              </w:rPr>
            </w:pPr>
            <w:r w:rsidRPr="007B6F9A">
              <w:rPr>
                <w:rFonts w:ascii="Arial" w:eastAsia="Times New Roman" w:hAnsi="Arial" w:cs="Arial"/>
                <w:b/>
                <w:bCs/>
                <w:i/>
                <w:lang w:eastAsia="es-PY"/>
              </w:rPr>
              <w:t xml:space="preserve"> Plazo de Entrega de los Bienes</w:t>
            </w:r>
          </w:p>
        </w:tc>
      </w:tr>
      <w:tr w:rsidR="001B2714" w:rsidRPr="00BD591A" w14:paraId="22FED758" w14:textId="77777777" w:rsidTr="00C745FB">
        <w:trPr>
          <w:trHeight w:val="207"/>
        </w:trPr>
        <w:tc>
          <w:tcPr>
            <w:tcW w:w="671" w:type="dxa"/>
            <w:vMerge/>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1CD856D1" w14:textId="77777777" w:rsidR="001B2714" w:rsidRPr="00BD591A" w:rsidRDefault="001B2714" w:rsidP="00C745FB">
            <w:pPr>
              <w:spacing w:after="0" w:line="240" w:lineRule="auto"/>
              <w:rPr>
                <w:rFonts w:ascii="Arial" w:eastAsia="Times New Roman" w:hAnsi="Arial" w:cs="Arial"/>
                <w:b/>
                <w:bCs/>
                <w:i/>
                <w:sz w:val="18"/>
                <w:szCs w:val="18"/>
                <w:lang w:eastAsia="es-PY"/>
              </w:rPr>
            </w:pPr>
          </w:p>
        </w:tc>
        <w:tc>
          <w:tcPr>
            <w:tcW w:w="1896" w:type="dxa"/>
            <w:vMerge/>
            <w:tcBorders>
              <w:top w:val="single" w:sz="4" w:space="0" w:color="auto"/>
              <w:left w:val="single" w:sz="4" w:space="0" w:color="auto"/>
              <w:bottom w:val="single" w:sz="4" w:space="0" w:color="000000"/>
              <w:right w:val="single" w:sz="4" w:space="0" w:color="auto"/>
            </w:tcBorders>
            <w:shd w:val="clear" w:color="auto" w:fill="CCC0D9" w:themeFill="accent4" w:themeFillTint="66"/>
            <w:vAlign w:val="center"/>
            <w:hideMark/>
          </w:tcPr>
          <w:p w14:paraId="328761F9" w14:textId="77777777" w:rsidR="001B2714" w:rsidRPr="00BD591A" w:rsidRDefault="001B2714" w:rsidP="00C745FB">
            <w:pPr>
              <w:spacing w:after="0" w:line="240" w:lineRule="auto"/>
              <w:rPr>
                <w:rFonts w:ascii="Arial" w:eastAsia="Times New Roman" w:hAnsi="Arial" w:cs="Arial"/>
                <w:b/>
                <w:bCs/>
                <w:i/>
                <w:sz w:val="18"/>
                <w:szCs w:val="18"/>
                <w:lang w:eastAsia="es-PY"/>
              </w:rPr>
            </w:pPr>
          </w:p>
        </w:tc>
        <w:tc>
          <w:tcPr>
            <w:tcW w:w="3260" w:type="dxa"/>
            <w:vMerge/>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0EC66354" w14:textId="77777777" w:rsidR="001B2714" w:rsidRPr="00BD591A" w:rsidRDefault="001B2714" w:rsidP="00C745FB">
            <w:pPr>
              <w:spacing w:after="0" w:line="240" w:lineRule="auto"/>
              <w:rPr>
                <w:rFonts w:ascii="Arial" w:eastAsia="Times New Roman" w:hAnsi="Arial" w:cs="Arial"/>
                <w:b/>
                <w:bCs/>
                <w:i/>
                <w:sz w:val="18"/>
                <w:szCs w:val="18"/>
                <w:lang w:eastAsia="es-PY"/>
              </w:rPr>
            </w:pPr>
          </w:p>
        </w:tc>
        <w:tc>
          <w:tcPr>
            <w:tcW w:w="2977" w:type="dxa"/>
            <w:vMerge/>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6BDD4722" w14:textId="77777777" w:rsidR="001B2714" w:rsidRPr="00BD591A" w:rsidRDefault="001B2714" w:rsidP="00C745FB">
            <w:pPr>
              <w:spacing w:after="0" w:line="240" w:lineRule="auto"/>
              <w:rPr>
                <w:rFonts w:ascii="Arial" w:eastAsia="Times New Roman" w:hAnsi="Arial" w:cs="Arial"/>
                <w:b/>
                <w:bCs/>
                <w:i/>
                <w:sz w:val="18"/>
                <w:szCs w:val="18"/>
                <w:lang w:eastAsia="es-PY"/>
              </w:rPr>
            </w:pPr>
          </w:p>
        </w:tc>
      </w:tr>
      <w:tr w:rsidR="001B2714" w:rsidRPr="00BA5AE6" w14:paraId="11D84DB8" w14:textId="77777777" w:rsidTr="001B2714">
        <w:trPr>
          <w:trHeight w:val="1309"/>
        </w:trPr>
        <w:tc>
          <w:tcPr>
            <w:tcW w:w="671" w:type="dxa"/>
            <w:tcBorders>
              <w:top w:val="nil"/>
              <w:left w:val="single" w:sz="4" w:space="0" w:color="auto"/>
              <w:bottom w:val="single" w:sz="4" w:space="0" w:color="auto"/>
              <w:right w:val="single" w:sz="4" w:space="0" w:color="auto"/>
            </w:tcBorders>
            <w:shd w:val="clear" w:color="auto" w:fill="auto"/>
            <w:vAlign w:val="center"/>
            <w:hideMark/>
          </w:tcPr>
          <w:p w14:paraId="25980557"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1</w:t>
            </w:r>
          </w:p>
        </w:tc>
        <w:tc>
          <w:tcPr>
            <w:tcW w:w="1896" w:type="dxa"/>
            <w:tcBorders>
              <w:top w:val="nil"/>
              <w:left w:val="nil"/>
              <w:bottom w:val="single" w:sz="4" w:space="0" w:color="auto"/>
              <w:right w:val="single" w:sz="4" w:space="0" w:color="auto"/>
            </w:tcBorders>
            <w:shd w:val="clear" w:color="auto" w:fill="auto"/>
            <w:vAlign w:val="center"/>
            <w:hideMark/>
          </w:tcPr>
          <w:p w14:paraId="5411A130"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Gas Dióxido de Carbono</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3618C53"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1051167C"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p>
        </w:tc>
      </w:tr>
      <w:tr w:rsidR="001B2714" w:rsidRPr="00BA5AE6" w14:paraId="51CCBE14" w14:textId="77777777" w:rsidTr="00C745FB">
        <w:trPr>
          <w:trHeight w:val="434"/>
        </w:trPr>
        <w:tc>
          <w:tcPr>
            <w:tcW w:w="671" w:type="dxa"/>
            <w:tcBorders>
              <w:top w:val="nil"/>
              <w:left w:val="single" w:sz="4" w:space="0" w:color="auto"/>
              <w:bottom w:val="single" w:sz="4" w:space="0" w:color="auto"/>
              <w:right w:val="single" w:sz="4" w:space="0" w:color="auto"/>
            </w:tcBorders>
            <w:shd w:val="clear" w:color="auto" w:fill="auto"/>
            <w:vAlign w:val="center"/>
          </w:tcPr>
          <w:p w14:paraId="322A47F0"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2</w:t>
            </w:r>
          </w:p>
        </w:tc>
        <w:tc>
          <w:tcPr>
            <w:tcW w:w="1896" w:type="dxa"/>
            <w:tcBorders>
              <w:top w:val="nil"/>
              <w:left w:val="nil"/>
              <w:bottom w:val="single" w:sz="4" w:space="0" w:color="auto"/>
              <w:right w:val="single" w:sz="4" w:space="0" w:color="auto"/>
            </w:tcBorders>
            <w:shd w:val="clear" w:color="auto" w:fill="auto"/>
            <w:vAlign w:val="center"/>
          </w:tcPr>
          <w:p w14:paraId="1B168F97"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 xml:space="preserve"> Gas acetileno</w:t>
            </w:r>
          </w:p>
        </w:tc>
        <w:tc>
          <w:tcPr>
            <w:tcW w:w="3260" w:type="dxa"/>
            <w:tcBorders>
              <w:top w:val="single" w:sz="4" w:space="0" w:color="auto"/>
              <w:left w:val="nil"/>
              <w:bottom w:val="single" w:sz="4" w:space="0" w:color="auto"/>
              <w:right w:val="single" w:sz="4" w:space="0" w:color="auto"/>
            </w:tcBorders>
            <w:shd w:val="clear" w:color="auto" w:fill="auto"/>
            <w:vAlign w:val="center"/>
          </w:tcPr>
          <w:p w14:paraId="4B8F5FAF"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56568F85" w14:textId="77777777" w:rsidR="001B2714" w:rsidRPr="00BA5AE6" w:rsidRDefault="001B2714" w:rsidP="00C745FB">
            <w:pPr>
              <w:spacing w:before="120" w:after="120"/>
              <w:jc w:val="center"/>
              <w:rPr>
                <w:sz w:val="18"/>
                <w:szCs w:val="18"/>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30(treinta) días calendarios.</w:t>
            </w:r>
          </w:p>
        </w:tc>
      </w:tr>
      <w:tr w:rsidR="001B2714" w:rsidRPr="00BA5AE6" w14:paraId="561DAA42" w14:textId="77777777" w:rsidTr="00C745FB">
        <w:trPr>
          <w:trHeight w:val="711"/>
        </w:trPr>
        <w:tc>
          <w:tcPr>
            <w:tcW w:w="671" w:type="dxa"/>
            <w:tcBorders>
              <w:top w:val="nil"/>
              <w:left w:val="single" w:sz="4" w:space="0" w:color="auto"/>
              <w:bottom w:val="single" w:sz="4" w:space="0" w:color="auto"/>
              <w:right w:val="single" w:sz="4" w:space="0" w:color="auto"/>
            </w:tcBorders>
            <w:shd w:val="clear" w:color="auto" w:fill="auto"/>
            <w:vAlign w:val="center"/>
          </w:tcPr>
          <w:p w14:paraId="36A4DA29"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3</w:t>
            </w:r>
          </w:p>
        </w:tc>
        <w:tc>
          <w:tcPr>
            <w:tcW w:w="1896" w:type="dxa"/>
            <w:tcBorders>
              <w:top w:val="nil"/>
              <w:left w:val="nil"/>
              <w:bottom w:val="single" w:sz="4" w:space="0" w:color="auto"/>
              <w:right w:val="single" w:sz="4" w:space="0" w:color="auto"/>
            </w:tcBorders>
            <w:shd w:val="clear" w:color="auto" w:fill="auto"/>
            <w:vAlign w:val="center"/>
          </w:tcPr>
          <w:p w14:paraId="6D522903"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Gas Helio</w:t>
            </w:r>
          </w:p>
        </w:tc>
        <w:tc>
          <w:tcPr>
            <w:tcW w:w="3260" w:type="dxa"/>
            <w:tcBorders>
              <w:top w:val="single" w:sz="4" w:space="0" w:color="auto"/>
              <w:left w:val="nil"/>
              <w:bottom w:val="single" w:sz="4" w:space="0" w:color="auto"/>
              <w:right w:val="single" w:sz="4" w:space="0" w:color="auto"/>
            </w:tcBorders>
            <w:shd w:val="clear" w:color="auto" w:fill="auto"/>
            <w:vAlign w:val="center"/>
          </w:tcPr>
          <w:p w14:paraId="03FC5B4B"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034701D3" w14:textId="77777777" w:rsidR="001B2714" w:rsidRPr="00BA5AE6" w:rsidRDefault="001B2714" w:rsidP="00C745FB">
            <w:pPr>
              <w:spacing w:before="120" w:after="120"/>
              <w:jc w:val="center"/>
              <w:rPr>
                <w:sz w:val="18"/>
                <w:szCs w:val="18"/>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30(treinta) días calendarios</w:t>
            </w:r>
            <w:r>
              <w:rPr>
                <w:rFonts w:eastAsia="Times New Roman" w:cstheme="minorHAnsi"/>
                <w:i/>
                <w:color w:val="000000"/>
                <w:sz w:val="18"/>
                <w:szCs w:val="18"/>
                <w:lang w:eastAsia="es-PY"/>
              </w:rPr>
              <w:t>.</w:t>
            </w:r>
          </w:p>
        </w:tc>
      </w:tr>
      <w:tr w:rsidR="001B2714" w:rsidRPr="00BA5AE6" w14:paraId="5F6E83E2" w14:textId="77777777" w:rsidTr="00C745FB">
        <w:trPr>
          <w:trHeight w:val="708"/>
        </w:trPr>
        <w:tc>
          <w:tcPr>
            <w:tcW w:w="671" w:type="dxa"/>
            <w:tcBorders>
              <w:top w:val="nil"/>
              <w:left w:val="single" w:sz="4" w:space="0" w:color="auto"/>
              <w:bottom w:val="single" w:sz="4" w:space="0" w:color="auto"/>
              <w:right w:val="single" w:sz="4" w:space="0" w:color="auto"/>
            </w:tcBorders>
            <w:shd w:val="clear" w:color="auto" w:fill="auto"/>
            <w:vAlign w:val="center"/>
          </w:tcPr>
          <w:p w14:paraId="4B197F11"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lastRenderedPageBreak/>
              <w:t>4</w:t>
            </w:r>
          </w:p>
        </w:tc>
        <w:tc>
          <w:tcPr>
            <w:tcW w:w="1896" w:type="dxa"/>
            <w:tcBorders>
              <w:top w:val="nil"/>
              <w:left w:val="nil"/>
              <w:bottom w:val="single" w:sz="4" w:space="0" w:color="auto"/>
              <w:right w:val="single" w:sz="4" w:space="0" w:color="auto"/>
            </w:tcBorders>
            <w:shd w:val="clear" w:color="auto" w:fill="auto"/>
            <w:vAlign w:val="center"/>
          </w:tcPr>
          <w:p w14:paraId="2C2C9EE5"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Gas hidrógeno U grado analítico p/GC</w:t>
            </w:r>
          </w:p>
        </w:tc>
        <w:tc>
          <w:tcPr>
            <w:tcW w:w="3260" w:type="dxa"/>
            <w:tcBorders>
              <w:top w:val="single" w:sz="4" w:space="0" w:color="auto"/>
              <w:left w:val="nil"/>
              <w:bottom w:val="single" w:sz="4" w:space="0" w:color="auto"/>
              <w:right w:val="single" w:sz="4" w:space="0" w:color="auto"/>
            </w:tcBorders>
            <w:shd w:val="clear" w:color="auto" w:fill="auto"/>
            <w:vAlign w:val="center"/>
          </w:tcPr>
          <w:p w14:paraId="46D88A5D"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vAlign w:val="center"/>
          </w:tcPr>
          <w:p w14:paraId="7C40DD16" w14:textId="77777777" w:rsidR="001B2714" w:rsidRPr="00BA5AE6" w:rsidRDefault="001B2714" w:rsidP="00C745FB">
            <w:pPr>
              <w:spacing w:before="120" w:after="120"/>
              <w:jc w:val="center"/>
              <w:rPr>
                <w:sz w:val="18"/>
                <w:szCs w:val="18"/>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r>
              <w:rPr>
                <w:rFonts w:eastAsia="Times New Roman" w:cstheme="minorHAnsi"/>
                <w:i/>
                <w:color w:val="000000"/>
                <w:sz w:val="18"/>
                <w:szCs w:val="18"/>
                <w:lang w:eastAsia="es-PY"/>
              </w:rPr>
              <w:t>.</w:t>
            </w:r>
          </w:p>
        </w:tc>
      </w:tr>
      <w:tr w:rsidR="001B2714" w:rsidRPr="00BA5AE6" w14:paraId="32026CE8" w14:textId="77777777" w:rsidTr="00C745FB">
        <w:trPr>
          <w:trHeight w:val="717"/>
        </w:trPr>
        <w:tc>
          <w:tcPr>
            <w:tcW w:w="671" w:type="dxa"/>
            <w:tcBorders>
              <w:top w:val="nil"/>
              <w:left w:val="single" w:sz="4" w:space="0" w:color="auto"/>
              <w:bottom w:val="single" w:sz="4" w:space="0" w:color="auto"/>
              <w:right w:val="single" w:sz="4" w:space="0" w:color="auto"/>
            </w:tcBorders>
            <w:shd w:val="clear" w:color="auto" w:fill="auto"/>
            <w:vAlign w:val="center"/>
          </w:tcPr>
          <w:p w14:paraId="2DC66EB6"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5</w:t>
            </w:r>
          </w:p>
        </w:tc>
        <w:tc>
          <w:tcPr>
            <w:tcW w:w="1896" w:type="dxa"/>
            <w:tcBorders>
              <w:top w:val="nil"/>
              <w:left w:val="nil"/>
              <w:bottom w:val="single" w:sz="4" w:space="0" w:color="auto"/>
              <w:right w:val="single" w:sz="4" w:space="0" w:color="auto"/>
            </w:tcBorders>
            <w:shd w:val="clear" w:color="auto" w:fill="auto"/>
            <w:vAlign w:val="center"/>
          </w:tcPr>
          <w:p w14:paraId="30920E64"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líquido</w:t>
            </w:r>
          </w:p>
        </w:tc>
        <w:tc>
          <w:tcPr>
            <w:tcW w:w="3260" w:type="dxa"/>
            <w:tcBorders>
              <w:top w:val="single" w:sz="4" w:space="0" w:color="auto"/>
              <w:left w:val="nil"/>
              <w:bottom w:val="single" w:sz="4" w:space="0" w:color="auto"/>
              <w:right w:val="single" w:sz="4" w:space="0" w:color="auto"/>
            </w:tcBorders>
            <w:shd w:val="clear" w:color="auto" w:fill="auto"/>
            <w:vAlign w:val="center"/>
          </w:tcPr>
          <w:p w14:paraId="6E3ED6BC"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7BC0E447" w14:textId="77777777" w:rsidR="001B2714" w:rsidRPr="00BA5AE6" w:rsidRDefault="001B2714" w:rsidP="00C745FB">
            <w:pPr>
              <w:spacing w:before="120" w:after="120"/>
              <w:jc w:val="center"/>
              <w:rPr>
                <w:sz w:val="18"/>
                <w:szCs w:val="18"/>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r>
              <w:rPr>
                <w:rFonts w:eastAsia="Times New Roman" w:cstheme="minorHAnsi"/>
                <w:i/>
                <w:color w:val="000000"/>
                <w:sz w:val="18"/>
                <w:szCs w:val="18"/>
                <w:lang w:eastAsia="es-PY"/>
              </w:rPr>
              <w:t>.</w:t>
            </w:r>
          </w:p>
        </w:tc>
      </w:tr>
      <w:tr w:rsidR="001B2714" w:rsidRPr="00BA5AE6" w14:paraId="7398794B" w14:textId="77777777" w:rsidTr="00C745FB">
        <w:trPr>
          <w:trHeight w:val="727"/>
        </w:trPr>
        <w:tc>
          <w:tcPr>
            <w:tcW w:w="671" w:type="dxa"/>
            <w:tcBorders>
              <w:top w:val="nil"/>
              <w:left w:val="single" w:sz="4" w:space="0" w:color="auto"/>
              <w:bottom w:val="single" w:sz="4" w:space="0" w:color="auto"/>
              <w:right w:val="single" w:sz="4" w:space="0" w:color="auto"/>
            </w:tcBorders>
            <w:shd w:val="clear" w:color="auto" w:fill="auto"/>
            <w:vAlign w:val="center"/>
          </w:tcPr>
          <w:p w14:paraId="2218D687" w14:textId="77777777" w:rsidR="001B2714" w:rsidRPr="007B6F9A" w:rsidRDefault="001B2714" w:rsidP="00C745FB">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6</w:t>
            </w:r>
          </w:p>
        </w:tc>
        <w:tc>
          <w:tcPr>
            <w:tcW w:w="1896" w:type="dxa"/>
            <w:tcBorders>
              <w:top w:val="nil"/>
              <w:left w:val="nil"/>
              <w:bottom w:val="single" w:sz="4" w:space="0" w:color="auto"/>
              <w:right w:val="single" w:sz="4" w:space="0" w:color="auto"/>
            </w:tcBorders>
            <w:shd w:val="clear" w:color="auto" w:fill="auto"/>
            <w:vAlign w:val="center"/>
          </w:tcPr>
          <w:p w14:paraId="2DEAAF25" w14:textId="77777777" w:rsidR="001B2714" w:rsidRPr="007B6F9A" w:rsidRDefault="001B2714" w:rsidP="00C745FB">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Analítico</w:t>
            </w:r>
          </w:p>
        </w:tc>
        <w:tc>
          <w:tcPr>
            <w:tcW w:w="3260" w:type="dxa"/>
            <w:tcBorders>
              <w:top w:val="single" w:sz="4" w:space="0" w:color="auto"/>
              <w:left w:val="nil"/>
              <w:bottom w:val="single" w:sz="4" w:space="0" w:color="auto"/>
              <w:right w:val="single" w:sz="4" w:space="0" w:color="auto"/>
            </w:tcBorders>
            <w:shd w:val="clear" w:color="auto" w:fill="auto"/>
            <w:vAlign w:val="center"/>
          </w:tcPr>
          <w:p w14:paraId="1F4DD777" w14:textId="77777777" w:rsidR="001B2714" w:rsidRPr="00BA5AE6" w:rsidRDefault="001B2714" w:rsidP="00C745FB">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Dirección General de Laboratorios y/o 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084FAC7A" w14:textId="77777777" w:rsidR="001B2714" w:rsidRPr="00BA5AE6" w:rsidRDefault="001B2714" w:rsidP="00C745FB">
            <w:pPr>
              <w:spacing w:before="120" w:after="120"/>
              <w:jc w:val="center"/>
              <w:rPr>
                <w:sz w:val="18"/>
                <w:szCs w:val="18"/>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r>
              <w:rPr>
                <w:rFonts w:eastAsia="Times New Roman" w:cstheme="minorHAnsi"/>
                <w:i/>
                <w:color w:val="000000"/>
                <w:sz w:val="18"/>
                <w:szCs w:val="18"/>
                <w:lang w:eastAsia="es-PY"/>
              </w:rPr>
              <w:t>.</w:t>
            </w:r>
          </w:p>
        </w:tc>
      </w:tr>
      <w:tr w:rsidR="001B2714" w:rsidRPr="00BA5AE6" w14:paraId="03A5C8F0" w14:textId="77777777" w:rsidTr="00C745FB">
        <w:trPr>
          <w:trHeight w:val="727"/>
        </w:trPr>
        <w:tc>
          <w:tcPr>
            <w:tcW w:w="671" w:type="dxa"/>
            <w:tcBorders>
              <w:top w:val="nil"/>
              <w:left w:val="single" w:sz="4" w:space="0" w:color="auto"/>
              <w:bottom w:val="single" w:sz="4" w:space="0" w:color="auto"/>
              <w:right w:val="single" w:sz="4" w:space="0" w:color="auto"/>
            </w:tcBorders>
            <w:shd w:val="clear" w:color="auto" w:fill="auto"/>
            <w:vAlign w:val="center"/>
          </w:tcPr>
          <w:p w14:paraId="7E5C87C3" w14:textId="4C9354C9" w:rsidR="001B2714" w:rsidRPr="007B6F9A" w:rsidRDefault="001B2714" w:rsidP="001B2714">
            <w:pPr>
              <w:spacing w:before="120" w:after="120" w:line="240" w:lineRule="auto"/>
              <w:jc w:val="center"/>
              <w:rPr>
                <w:rFonts w:ascii="Arial" w:eastAsia="Times New Roman" w:hAnsi="Arial" w:cs="Arial"/>
                <w:i/>
                <w:lang w:eastAsia="es-PY"/>
              </w:rPr>
            </w:pPr>
            <w:r w:rsidRPr="007B6F9A">
              <w:rPr>
                <w:rFonts w:ascii="Arial" w:eastAsia="Times New Roman" w:hAnsi="Arial" w:cs="Arial"/>
                <w:i/>
                <w:lang w:eastAsia="es-PY"/>
              </w:rPr>
              <w:t>7</w:t>
            </w:r>
          </w:p>
        </w:tc>
        <w:tc>
          <w:tcPr>
            <w:tcW w:w="1896" w:type="dxa"/>
            <w:tcBorders>
              <w:top w:val="nil"/>
              <w:left w:val="nil"/>
              <w:bottom w:val="single" w:sz="4" w:space="0" w:color="auto"/>
              <w:right w:val="single" w:sz="4" w:space="0" w:color="auto"/>
            </w:tcBorders>
            <w:shd w:val="clear" w:color="auto" w:fill="auto"/>
            <w:vAlign w:val="center"/>
          </w:tcPr>
          <w:p w14:paraId="3ED140BF" w14:textId="4B2879A3" w:rsidR="001B2714" w:rsidRPr="007B6F9A" w:rsidRDefault="001B2714" w:rsidP="001B2714">
            <w:pPr>
              <w:pStyle w:val="SectionVIHeader"/>
              <w:spacing w:after="12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Gaseoso</w:t>
            </w:r>
          </w:p>
        </w:tc>
        <w:tc>
          <w:tcPr>
            <w:tcW w:w="3260" w:type="dxa"/>
            <w:tcBorders>
              <w:top w:val="single" w:sz="4" w:space="0" w:color="auto"/>
              <w:left w:val="nil"/>
              <w:bottom w:val="single" w:sz="4" w:space="0" w:color="auto"/>
              <w:right w:val="single" w:sz="4" w:space="0" w:color="auto"/>
            </w:tcBorders>
            <w:shd w:val="clear" w:color="auto" w:fill="auto"/>
            <w:vAlign w:val="center"/>
          </w:tcPr>
          <w:p w14:paraId="7CADB16E" w14:textId="6ACF3B27" w:rsidR="001B2714" w:rsidRPr="00BA5AE6" w:rsidRDefault="001B2714" w:rsidP="001B2714">
            <w:pPr>
              <w:spacing w:before="120" w:after="120" w:line="240" w:lineRule="auto"/>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 xml:space="preserve">Dependencia designada por la Administración (sito calle Ciencias Veterinarias 265 c/ Ruta </w:t>
            </w:r>
            <w:proofErr w:type="spellStart"/>
            <w:r w:rsidRPr="00BA5AE6">
              <w:rPr>
                <w:rFonts w:eastAsia="Times New Roman" w:cstheme="minorHAnsi"/>
                <w:i/>
                <w:color w:val="000000"/>
                <w:sz w:val="18"/>
                <w:szCs w:val="18"/>
                <w:lang w:eastAsia="es-PY"/>
              </w:rPr>
              <w:t>Mcal</w:t>
            </w:r>
            <w:proofErr w:type="spellEnd"/>
            <w:r w:rsidRPr="00BA5AE6">
              <w:rPr>
                <w:rFonts w:eastAsia="Times New Roman" w:cstheme="minorHAnsi"/>
                <w:i/>
                <w:color w:val="000000"/>
                <w:sz w:val="18"/>
                <w:szCs w:val="18"/>
                <w:lang w:eastAsia="es-PY"/>
              </w:rPr>
              <w:t xml:space="preserve">. </w:t>
            </w:r>
            <w:proofErr w:type="spellStart"/>
            <w:r w:rsidRPr="00BA5AE6">
              <w:rPr>
                <w:rFonts w:eastAsia="Times New Roman" w:cstheme="minorHAnsi"/>
                <w:i/>
                <w:color w:val="000000"/>
                <w:sz w:val="18"/>
                <w:szCs w:val="18"/>
                <w:lang w:eastAsia="es-PY"/>
              </w:rPr>
              <w:t>Estigarribia</w:t>
            </w:r>
            <w:proofErr w:type="spellEnd"/>
            <w:r w:rsidRPr="00BA5AE6">
              <w:rPr>
                <w:rFonts w:eastAsia="Times New Roman" w:cstheme="minorHAnsi"/>
                <w:i/>
                <w:color w:val="000000"/>
                <w:sz w:val="18"/>
                <w:szCs w:val="18"/>
                <w:lang w:eastAsia="es-PY"/>
              </w:rPr>
              <w:t xml:space="preserve"> – San Lorenzo) de lunes a viernes de 07:30 a 12:00 </w:t>
            </w:r>
            <w:proofErr w:type="spellStart"/>
            <w:r w:rsidRPr="00BA5AE6">
              <w:rPr>
                <w:rFonts w:eastAsia="Times New Roman" w:cstheme="minorHAnsi"/>
                <w:i/>
                <w:color w:val="000000"/>
                <w:sz w:val="18"/>
                <w:szCs w:val="18"/>
                <w:lang w:eastAsia="es-PY"/>
              </w:rPr>
              <w:t>hs</w:t>
            </w:r>
            <w:proofErr w:type="spellEnd"/>
            <w:r w:rsidRPr="00BA5AE6">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2E7CC532" w14:textId="2B1D3850" w:rsidR="001B2714" w:rsidRPr="00BA5AE6" w:rsidRDefault="001B2714" w:rsidP="001B2714">
            <w:pPr>
              <w:spacing w:before="120" w:after="120"/>
              <w:jc w:val="center"/>
              <w:rPr>
                <w:rFonts w:eastAsia="Times New Roman" w:cstheme="minorHAnsi"/>
                <w:i/>
                <w:color w:val="000000"/>
                <w:sz w:val="18"/>
                <w:szCs w:val="18"/>
                <w:lang w:eastAsia="es-PY"/>
              </w:rPr>
            </w:pPr>
            <w:r w:rsidRPr="00BA5AE6">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r>
              <w:rPr>
                <w:rFonts w:eastAsia="Times New Roman" w:cstheme="minorHAnsi"/>
                <w:i/>
                <w:color w:val="000000"/>
                <w:sz w:val="18"/>
                <w:szCs w:val="18"/>
                <w:lang w:eastAsia="es-PY"/>
              </w:rPr>
              <w:t>.</w:t>
            </w:r>
          </w:p>
        </w:tc>
      </w:tr>
      <w:tr w:rsidR="001B2714" w:rsidRPr="00BA5AE6" w14:paraId="08637719" w14:textId="77777777" w:rsidTr="00E12F12">
        <w:trPr>
          <w:trHeight w:val="727"/>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29C78AFA" w14:textId="0D69AF36" w:rsidR="001B2714" w:rsidRPr="001B2714" w:rsidRDefault="001B2714" w:rsidP="001B2714">
            <w:pPr>
              <w:spacing w:before="120" w:after="120" w:line="240" w:lineRule="auto"/>
              <w:jc w:val="center"/>
              <w:rPr>
                <w:rFonts w:ascii="Arial" w:eastAsia="Times New Roman" w:hAnsi="Arial" w:cs="Arial"/>
                <w:i/>
                <w:lang w:eastAsia="es-PY"/>
              </w:rPr>
            </w:pPr>
            <w:r w:rsidRPr="001B2714">
              <w:rPr>
                <w:rFonts w:ascii="Arial" w:hAnsi="Arial" w:cs="Arial"/>
                <w:i/>
                <w:sz w:val="20"/>
                <w:szCs w:val="20"/>
              </w:rPr>
              <w:t>8</w:t>
            </w:r>
          </w:p>
        </w:tc>
        <w:tc>
          <w:tcPr>
            <w:tcW w:w="1896" w:type="dxa"/>
            <w:tcBorders>
              <w:top w:val="single" w:sz="4" w:space="0" w:color="auto"/>
              <w:left w:val="nil"/>
              <w:bottom w:val="single" w:sz="4" w:space="0" w:color="auto"/>
              <w:right w:val="single" w:sz="4" w:space="0" w:color="auto"/>
            </w:tcBorders>
            <w:shd w:val="clear" w:color="auto" w:fill="auto"/>
            <w:vAlign w:val="center"/>
          </w:tcPr>
          <w:p w14:paraId="672B5762" w14:textId="7F33140E" w:rsidR="001B2714" w:rsidRPr="007B6F9A" w:rsidRDefault="001B2714" w:rsidP="001B2714">
            <w:pPr>
              <w:pStyle w:val="SectionVIHeader"/>
              <w:spacing w:after="120" w:line="240" w:lineRule="auto"/>
              <w:rPr>
                <w:rFonts w:ascii="Arial" w:hAnsi="Arial" w:cs="Arial"/>
                <w:b w:val="0"/>
                <w:i/>
                <w:sz w:val="20"/>
                <w:szCs w:val="20"/>
                <w:lang w:val="es-PY"/>
              </w:rPr>
            </w:pPr>
            <w:r>
              <w:rPr>
                <w:rFonts w:ascii="Arial" w:hAnsi="Arial" w:cs="Arial"/>
                <w:b w:val="0"/>
                <w:i/>
                <w:sz w:val="20"/>
                <w:szCs w:val="20"/>
                <w:lang w:val="es-PY"/>
              </w:rPr>
              <w:t>Argón Grado Analítico</w:t>
            </w:r>
          </w:p>
        </w:tc>
        <w:tc>
          <w:tcPr>
            <w:tcW w:w="3260" w:type="dxa"/>
            <w:tcBorders>
              <w:top w:val="single" w:sz="4" w:space="0" w:color="auto"/>
              <w:left w:val="nil"/>
              <w:bottom w:val="single" w:sz="4" w:space="0" w:color="auto"/>
              <w:right w:val="single" w:sz="4" w:space="0" w:color="auto"/>
            </w:tcBorders>
            <w:shd w:val="clear" w:color="auto" w:fill="auto"/>
            <w:vAlign w:val="center"/>
          </w:tcPr>
          <w:p w14:paraId="04C43E25" w14:textId="53CCEB30" w:rsidR="001B2714" w:rsidRPr="00BA5AE6" w:rsidRDefault="001B2714" w:rsidP="001B2714">
            <w:pPr>
              <w:spacing w:before="120" w:after="120" w:line="240" w:lineRule="auto"/>
              <w:jc w:val="center"/>
              <w:rPr>
                <w:rFonts w:eastAsia="Times New Roman" w:cstheme="minorHAnsi"/>
                <w:i/>
                <w:color w:val="000000"/>
                <w:sz w:val="18"/>
                <w:szCs w:val="18"/>
                <w:lang w:eastAsia="es-PY"/>
              </w:rPr>
            </w:pPr>
            <w:r w:rsidRPr="001B2714">
              <w:rPr>
                <w:rFonts w:eastAsia="Times New Roman" w:cstheme="minorHAnsi"/>
                <w:i/>
                <w:color w:val="000000"/>
                <w:sz w:val="18"/>
                <w:szCs w:val="18"/>
                <w:lang w:eastAsia="es-PY"/>
              </w:rPr>
              <w:t xml:space="preserve">Dependencia designada por la Administración (sito calle Ciencias Veterinarias 265 c/ Ruta </w:t>
            </w:r>
            <w:proofErr w:type="spellStart"/>
            <w:r w:rsidRPr="001B2714">
              <w:rPr>
                <w:rFonts w:eastAsia="Times New Roman" w:cstheme="minorHAnsi"/>
                <w:i/>
                <w:color w:val="000000"/>
                <w:sz w:val="18"/>
                <w:szCs w:val="18"/>
                <w:lang w:eastAsia="es-PY"/>
              </w:rPr>
              <w:t>Mcal</w:t>
            </w:r>
            <w:proofErr w:type="spellEnd"/>
            <w:r w:rsidRPr="001B2714">
              <w:rPr>
                <w:rFonts w:eastAsia="Times New Roman" w:cstheme="minorHAnsi"/>
                <w:i/>
                <w:color w:val="000000"/>
                <w:sz w:val="18"/>
                <w:szCs w:val="18"/>
                <w:lang w:eastAsia="es-PY"/>
              </w:rPr>
              <w:t xml:space="preserve">. </w:t>
            </w:r>
            <w:proofErr w:type="spellStart"/>
            <w:r w:rsidRPr="001B2714">
              <w:rPr>
                <w:rFonts w:eastAsia="Times New Roman" w:cstheme="minorHAnsi"/>
                <w:i/>
                <w:color w:val="000000"/>
                <w:sz w:val="18"/>
                <w:szCs w:val="18"/>
                <w:lang w:eastAsia="es-PY"/>
              </w:rPr>
              <w:t>Estigarribia</w:t>
            </w:r>
            <w:proofErr w:type="spellEnd"/>
            <w:r w:rsidRPr="001B2714">
              <w:rPr>
                <w:rFonts w:eastAsia="Times New Roman" w:cstheme="minorHAnsi"/>
                <w:i/>
                <w:color w:val="000000"/>
                <w:sz w:val="18"/>
                <w:szCs w:val="18"/>
                <w:lang w:eastAsia="es-PY"/>
              </w:rPr>
              <w:t xml:space="preserve"> – San Lorenzo) de lunes a viernes de 07:30 a 12:00 </w:t>
            </w:r>
            <w:proofErr w:type="spellStart"/>
            <w:r w:rsidRPr="001B2714">
              <w:rPr>
                <w:rFonts w:eastAsia="Times New Roman" w:cstheme="minorHAnsi"/>
                <w:i/>
                <w:color w:val="000000"/>
                <w:sz w:val="18"/>
                <w:szCs w:val="18"/>
                <w:lang w:eastAsia="es-PY"/>
              </w:rPr>
              <w:t>hs</w:t>
            </w:r>
            <w:proofErr w:type="spellEnd"/>
            <w:r w:rsidRPr="001B2714">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7790C85C" w14:textId="4EA202B5" w:rsidR="001B2714" w:rsidRPr="00BA5AE6" w:rsidRDefault="001B2714" w:rsidP="001B2714">
            <w:pPr>
              <w:spacing w:before="120" w:after="120"/>
              <w:jc w:val="center"/>
              <w:rPr>
                <w:rFonts w:eastAsia="Times New Roman" w:cstheme="minorHAnsi"/>
                <w:i/>
                <w:color w:val="000000"/>
                <w:sz w:val="18"/>
                <w:szCs w:val="18"/>
                <w:lang w:eastAsia="es-PY"/>
              </w:rPr>
            </w:pPr>
            <w:r w:rsidRPr="001B2714">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p>
        </w:tc>
      </w:tr>
      <w:tr w:rsidR="001B2714" w:rsidRPr="00BA5AE6" w14:paraId="3BDD7EB0" w14:textId="77777777" w:rsidTr="00E12F12">
        <w:trPr>
          <w:trHeight w:val="727"/>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05538E16" w14:textId="26B1331C" w:rsidR="001B2714" w:rsidRPr="001B2714" w:rsidRDefault="001B2714" w:rsidP="001B2714">
            <w:pPr>
              <w:spacing w:before="120" w:after="120" w:line="240" w:lineRule="auto"/>
              <w:jc w:val="center"/>
              <w:rPr>
                <w:rFonts w:ascii="Arial" w:eastAsia="Times New Roman" w:hAnsi="Arial" w:cs="Arial"/>
                <w:i/>
                <w:lang w:eastAsia="es-PY"/>
              </w:rPr>
            </w:pPr>
            <w:r w:rsidRPr="001B2714">
              <w:rPr>
                <w:rFonts w:ascii="Arial" w:hAnsi="Arial" w:cs="Arial"/>
                <w:i/>
                <w:sz w:val="20"/>
                <w:szCs w:val="20"/>
              </w:rPr>
              <w:t>9</w:t>
            </w:r>
          </w:p>
        </w:tc>
        <w:tc>
          <w:tcPr>
            <w:tcW w:w="1896" w:type="dxa"/>
            <w:tcBorders>
              <w:top w:val="single" w:sz="4" w:space="0" w:color="auto"/>
              <w:left w:val="nil"/>
              <w:bottom w:val="single" w:sz="4" w:space="0" w:color="auto"/>
              <w:right w:val="single" w:sz="4" w:space="0" w:color="auto"/>
            </w:tcBorders>
            <w:shd w:val="clear" w:color="auto" w:fill="auto"/>
            <w:vAlign w:val="center"/>
          </w:tcPr>
          <w:p w14:paraId="717E8C8C" w14:textId="77027603" w:rsidR="001B2714" w:rsidRPr="007B6F9A" w:rsidRDefault="001B2714" w:rsidP="001B2714">
            <w:pPr>
              <w:pStyle w:val="SectionVIHeader"/>
              <w:spacing w:after="120" w:line="240" w:lineRule="auto"/>
              <w:rPr>
                <w:rFonts w:ascii="Arial" w:hAnsi="Arial" w:cs="Arial"/>
                <w:b w:val="0"/>
                <w:i/>
                <w:sz w:val="20"/>
                <w:szCs w:val="20"/>
                <w:lang w:val="es-PY"/>
              </w:rPr>
            </w:pPr>
            <w:r>
              <w:rPr>
                <w:rFonts w:ascii="Arial" w:hAnsi="Arial" w:cs="Arial"/>
                <w:b w:val="0"/>
                <w:i/>
                <w:sz w:val="20"/>
                <w:szCs w:val="20"/>
                <w:lang w:val="es-PY"/>
              </w:rPr>
              <w:t>Gas Refrigerante</w:t>
            </w:r>
          </w:p>
        </w:tc>
        <w:tc>
          <w:tcPr>
            <w:tcW w:w="3260" w:type="dxa"/>
            <w:tcBorders>
              <w:top w:val="single" w:sz="4" w:space="0" w:color="auto"/>
              <w:left w:val="nil"/>
              <w:bottom w:val="single" w:sz="4" w:space="0" w:color="auto"/>
              <w:right w:val="single" w:sz="4" w:space="0" w:color="auto"/>
            </w:tcBorders>
            <w:shd w:val="clear" w:color="auto" w:fill="auto"/>
            <w:vAlign w:val="center"/>
          </w:tcPr>
          <w:p w14:paraId="1EE2DDA8" w14:textId="2F14BAA3" w:rsidR="001B2714" w:rsidRPr="00BA5AE6" w:rsidRDefault="001B2714" w:rsidP="001B2714">
            <w:pPr>
              <w:spacing w:before="120" w:after="120" w:line="240" w:lineRule="auto"/>
              <w:jc w:val="center"/>
              <w:rPr>
                <w:rFonts w:eastAsia="Times New Roman" w:cstheme="minorHAnsi"/>
                <w:i/>
                <w:color w:val="000000"/>
                <w:sz w:val="18"/>
                <w:szCs w:val="18"/>
                <w:lang w:eastAsia="es-PY"/>
              </w:rPr>
            </w:pPr>
            <w:r w:rsidRPr="001B2714">
              <w:rPr>
                <w:rFonts w:eastAsia="Times New Roman" w:cstheme="minorHAnsi"/>
                <w:i/>
                <w:color w:val="000000"/>
                <w:sz w:val="18"/>
                <w:szCs w:val="18"/>
                <w:lang w:eastAsia="es-PY"/>
              </w:rPr>
              <w:t xml:space="preserve">Dependencia designada por la Administración (sito calle Ciencias Veterinarias 265 c/ Ruta </w:t>
            </w:r>
            <w:proofErr w:type="spellStart"/>
            <w:r w:rsidRPr="001B2714">
              <w:rPr>
                <w:rFonts w:eastAsia="Times New Roman" w:cstheme="minorHAnsi"/>
                <w:i/>
                <w:color w:val="000000"/>
                <w:sz w:val="18"/>
                <w:szCs w:val="18"/>
                <w:lang w:eastAsia="es-PY"/>
              </w:rPr>
              <w:t>Mcal</w:t>
            </w:r>
            <w:proofErr w:type="spellEnd"/>
            <w:r w:rsidRPr="001B2714">
              <w:rPr>
                <w:rFonts w:eastAsia="Times New Roman" w:cstheme="minorHAnsi"/>
                <w:i/>
                <w:color w:val="000000"/>
                <w:sz w:val="18"/>
                <w:szCs w:val="18"/>
                <w:lang w:eastAsia="es-PY"/>
              </w:rPr>
              <w:t xml:space="preserve">. </w:t>
            </w:r>
            <w:proofErr w:type="spellStart"/>
            <w:r w:rsidRPr="001B2714">
              <w:rPr>
                <w:rFonts w:eastAsia="Times New Roman" w:cstheme="minorHAnsi"/>
                <w:i/>
                <w:color w:val="000000"/>
                <w:sz w:val="18"/>
                <w:szCs w:val="18"/>
                <w:lang w:eastAsia="es-PY"/>
              </w:rPr>
              <w:t>Estigarribia</w:t>
            </w:r>
            <w:proofErr w:type="spellEnd"/>
            <w:r w:rsidRPr="001B2714">
              <w:rPr>
                <w:rFonts w:eastAsia="Times New Roman" w:cstheme="minorHAnsi"/>
                <w:i/>
                <w:color w:val="000000"/>
                <w:sz w:val="18"/>
                <w:szCs w:val="18"/>
                <w:lang w:eastAsia="es-PY"/>
              </w:rPr>
              <w:t xml:space="preserve"> – San Lorenzo) de lunes a viernes de 07:30 a 12:00 </w:t>
            </w:r>
            <w:proofErr w:type="spellStart"/>
            <w:r w:rsidRPr="001B2714">
              <w:rPr>
                <w:rFonts w:eastAsia="Times New Roman" w:cstheme="minorHAnsi"/>
                <w:i/>
                <w:color w:val="000000"/>
                <w:sz w:val="18"/>
                <w:szCs w:val="18"/>
                <w:lang w:eastAsia="es-PY"/>
              </w:rPr>
              <w:t>hs</w:t>
            </w:r>
            <w:proofErr w:type="spellEnd"/>
            <w:r w:rsidRPr="001B2714">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005E472F" w14:textId="00644415" w:rsidR="001B2714" w:rsidRPr="00BA5AE6" w:rsidRDefault="001B2714" w:rsidP="001B2714">
            <w:pPr>
              <w:spacing w:before="120" w:after="120"/>
              <w:jc w:val="center"/>
              <w:rPr>
                <w:rFonts w:eastAsia="Times New Roman" w:cstheme="minorHAnsi"/>
                <w:i/>
                <w:color w:val="000000"/>
                <w:sz w:val="18"/>
                <w:szCs w:val="18"/>
                <w:lang w:eastAsia="es-PY"/>
              </w:rPr>
            </w:pPr>
            <w:r w:rsidRPr="001B2714">
              <w:rPr>
                <w:rFonts w:eastAsia="Times New Roman" w:cstheme="minorHAnsi"/>
                <w:i/>
                <w:color w:val="000000"/>
                <w:sz w:val="18"/>
                <w:szCs w:val="18"/>
                <w:lang w:eastAsia="es-PY"/>
              </w:rPr>
              <w:t>Conforme a órdenes de provisión emitidas por el Departamento de Administración de Contratos según necesidad en un plazo de entrega tentativo de 1 (un) día hábil.</w:t>
            </w:r>
          </w:p>
        </w:tc>
      </w:tr>
      <w:tr w:rsidR="001B2714" w:rsidRPr="00BA5AE6" w14:paraId="40BA8766" w14:textId="77777777" w:rsidTr="00E12F12">
        <w:trPr>
          <w:trHeight w:val="558"/>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3B721C32" w14:textId="34763DD0" w:rsidR="001B2714" w:rsidRPr="001B2714" w:rsidRDefault="001B2714" w:rsidP="001B2714">
            <w:pPr>
              <w:spacing w:before="120" w:after="120" w:line="240" w:lineRule="auto"/>
              <w:jc w:val="center"/>
              <w:rPr>
                <w:rFonts w:ascii="Arial" w:eastAsia="Times New Roman" w:hAnsi="Arial" w:cs="Arial"/>
                <w:i/>
                <w:lang w:eastAsia="es-PY"/>
              </w:rPr>
            </w:pPr>
            <w:r w:rsidRPr="001B2714">
              <w:rPr>
                <w:rFonts w:ascii="Arial" w:hAnsi="Arial" w:cs="Arial"/>
                <w:i/>
                <w:sz w:val="20"/>
                <w:szCs w:val="20"/>
              </w:rPr>
              <w:t>10</w:t>
            </w:r>
          </w:p>
        </w:tc>
        <w:tc>
          <w:tcPr>
            <w:tcW w:w="1896" w:type="dxa"/>
            <w:tcBorders>
              <w:top w:val="single" w:sz="4" w:space="0" w:color="auto"/>
              <w:left w:val="nil"/>
              <w:bottom w:val="single" w:sz="4" w:space="0" w:color="auto"/>
              <w:right w:val="single" w:sz="4" w:space="0" w:color="auto"/>
            </w:tcBorders>
            <w:shd w:val="clear" w:color="auto" w:fill="auto"/>
            <w:vAlign w:val="center"/>
          </w:tcPr>
          <w:p w14:paraId="23B07E03" w14:textId="372E1D9E" w:rsidR="001B2714" w:rsidRPr="007B6F9A" w:rsidRDefault="001B2714" w:rsidP="001B2714">
            <w:pPr>
              <w:pStyle w:val="SectionVIHeader"/>
              <w:spacing w:after="120" w:line="240" w:lineRule="auto"/>
              <w:rPr>
                <w:rFonts w:ascii="Arial" w:hAnsi="Arial" w:cs="Arial"/>
                <w:b w:val="0"/>
                <w:i/>
                <w:sz w:val="20"/>
                <w:szCs w:val="20"/>
                <w:lang w:val="es-PY"/>
              </w:rPr>
            </w:pPr>
            <w:r>
              <w:rPr>
                <w:rFonts w:ascii="Arial" w:hAnsi="Arial" w:cs="Arial"/>
                <w:b w:val="0"/>
                <w:i/>
                <w:sz w:val="20"/>
                <w:szCs w:val="20"/>
                <w:lang w:val="es-PY"/>
              </w:rPr>
              <w:t>Gas Refrigerante</w:t>
            </w:r>
          </w:p>
        </w:tc>
        <w:tc>
          <w:tcPr>
            <w:tcW w:w="3260" w:type="dxa"/>
            <w:tcBorders>
              <w:top w:val="single" w:sz="4" w:space="0" w:color="auto"/>
              <w:left w:val="nil"/>
              <w:bottom w:val="single" w:sz="4" w:space="0" w:color="auto"/>
              <w:right w:val="single" w:sz="4" w:space="0" w:color="auto"/>
            </w:tcBorders>
            <w:shd w:val="clear" w:color="auto" w:fill="auto"/>
            <w:vAlign w:val="center"/>
          </w:tcPr>
          <w:p w14:paraId="44DEF662" w14:textId="69F034E5" w:rsidR="001B2714" w:rsidRPr="00BA5AE6" w:rsidRDefault="001B2714" w:rsidP="001B2714">
            <w:pPr>
              <w:spacing w:before="120" w:after="120" w:line="240" w:lineRule="auto"/>
              <w:jc w:val="center"/>
              <w:rPr>
                <w:rFonts w:eastAsia="Times New Roman" w:cstheme="minorHAnsi"/>
                <w:i/>
                <w:color w:val="000000"/>
                <w:sz w:val="18"/>
                <w:szCs w:val="18"/>
                <w:lang w:eastAsia="es-PY"/>
              </w:rPr>
            </w:pPr>
            <w:r w:rsidRPr="001B2714">
              <w:rPr>
                <w:rFonts w:eastAsia="Times New Roman" w:cstheme="minorHAnsi"/>
                <w:i/>
                <w:color w:val="000000"/>
                <w:sz w:val="18"/>
                <w:szCs w:val="18"/>
                <w:lang w:eastAsia="es-PY"/>
              </w:rPr>
              <w:t xml:space="preserve">Dependencia designada por la Administración (sito calle Ciencias Veterinarias 265 c/ Ruta </w:t>
            </w:r>
            <w:proofErr w:type="spellStart"/>
            <w:r w:rsidRPr="001B2714">
              <w:rPr>
                <w:rFonts w:eastAsia="Times New Roman" w:cstheme="minorHAnsi"/>
                <w:i/>
                <w:color w:val="000000"/>
                <w:sz w:val="18"/>
                <w:szCs w:val="18"/>
                <w:lang w:eastAsia="es-PY"/>
              </w:rPr>
              <w:t>Mcal</w:t>
            </w:r>
            <w:proofErr w:type="spellEnd"/>
            <w:r w:rsidRPr="001B2714">
              <w:rPr>
                <w:rFonts w:eastAsia="Times New Roman" w:cstheme="minorHAnsi"/>
                <w:i/>
                <w:color w:val="000000"/>
                <w:sz w:val="18"/>
                <w:szCs w:val="18"/>
                <w:lang w:eastAsia="es-PY"/>
              </w:rPr>
              <w:t xml:space="preserve">. </w:t>
            </w:r>
            <w:proofErr w:type="spellStart"/>
            <w:r w:rsidRPr="001B2714">
              <w:rPr>
                <w:rFonts w:eastAsia="Times New Roman" w:cstheme="minorHAnsi"/>
                <w:i/>
                <w:color w:val="000000"/>
                <w:sz w:val="18"/>
                <w:szCs w:val="18"/>
                <w:lang w:eastAsia="es-PY"/>
              </w:rPr>
              <w:t>Estigarribia</w:t>
            </w:r>
            <w:proofErr w:type="spellEnd"/>
            <w:r w:rsidRPr="001B2714">
              <w:rPr>
                <w:rFonts w:eastAsia="Times New Roman" w:cstheme="minorHAnsi"/>
                <w:i/>
                <w:color w:val="000000"/>
                <w:sz w:val="18"/>
                <w:szCs w:val="18"/>
                <w:lang w:eastAsia="es-PY"/>
              </w:rPr>
              <w:t xml:space="preserve"> – San Lorenzo) de lunes a viernes de 07:30 a 12:00 </w:t>
            </w:r>
            <w:proofErr w:type="spellStart"/>
            <w:r w:rsidRPr="001B2714">
              <w:rPr>
                <w:rFonts w:eastAsia="Times New Roman" w:cstheme="minorHAnsi"/>
                <w:i/>
                <w:color w:val="000000"/>
                <w:sz w:val="18"/>
                <w:szCs w:val="18"/>
                <w:lang w:eastAsia="es-PY"/>
              </w:rPr>
              <w:t>hs</w:t>
            </w:r>
            <w:proofErr w:type="spellEnd"/>
            <w:r w:rsidRPr="001B2714">
              <w:rPr>
                <w:rFonts w:eastAsia="Times New Roman" w:cstheme="minorHAnsi"/>
                <w:i/>
                <w:color w:val="000000"/>
                <w:sz w:val="18"/>
                <w:szCs w:val="18"/>
                <w:lang w:eastAsia="es-PY"/>
              </w:rPr>
              <w:t>.</w:t>
            </w:r>
          </w:p>
        </w:tc>
        <w:tc>
          <w:tcPr>
            <w:tcW w:w="2977" w:type="dxa"/>
            <w:tcBorders>
              <w:top w:val="single" w:sz="4" w:space="0" w:color="auto"/>
              <w:left w:val="nil"/>
              <w:bottom w:val="single" w:sz="4" w:space="0" w:color="auto"/>
              <w:right w:val="single" w:sz="4" w:space="0" w:color="auto"/>
            </w:tcBorders>
            <w:shd w:val="clear" w:color="auto" w:fill="auto"/>
          </w:tcPr>
          <w:p w14:paraId="389ED768" w14:textId="57C5BB36" w:rsidR="001B2714" w:rsidRPr="00BA5AE6" w:rsidRDefault="001B2714" w:rsidP="001B2714">
            <w:pPr>
              <w:spacing w:before="120" w:after="120"/>
              <w:jc w:val="center"/>
              <w:rPr>
                <w:sz w:val="18"/>
                <w:szCs w:val="18"/>
              </w:rPr>
            </w:pPr>
            <w:r w:rsidRPr="001B2714">
              <w:rPr>
                <w:i/>
                <w:sz w:val="18"/>
                <w:szCs w:val="18"/>
              </w:rPr>
              <w:t>Conforme a órdenes de provisión emitidas por el Departamento de Administración de Contratos según necesidad en un plazo de entrega tentativo de 1 (un) día hábil.</w:t>
            </w:r>
          </w:p>
        </w:tc>
      </w:tr>
    </w:tbl>
    <w:p w14:paraId="0E427A9C" w14:textId="77777777" w:rsidR="00E5581E" w:rsidRDefault="00E5581E" w:rsidP="00B3616F">
      <w:pPr>
        <w:spacing w:after="0" w:line="240" w:lineRule="auto"/>
        <w:ind w:left="142"/>
        <w:jc w:val="both"/>
        <w:rPr>
          <w:rFonts w:ascii="Arial" w:eastAsia="Calibri" w:hAnsi="Arial" w:cs="Arial"/>
          <w:lang w:eastAsia="es-PY"/>
        </w:rPr>
      </w:pPr>
    </w:p>
    <w:bookmarkEnd w:id="1"/>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4A6DF8E2" w14:textId="09035024" w:rsidR="00A63F8B" w:rsidRPr="00A63F8B" w:rsidRDefault="00A63F8B" w:rsidP="00A63F8B">
      <w:pPr>
        <w:pStyle w:val="SectionVIHeader"/>
        <w:spacing w:before="0" w:after="0" w:line="360" w:lineRule="auto"/>
        <w:jc w:val="left"/>
        <w:rPr>
          <w:rFonts w:ascii="Arial" w:hAnsi="Arial" w:cs="Arial"/>
          <w:bCs w:val="0"/>
          <w:sz w:val="28"/>
          <w:szCs w:val="20"/>
          <w:lang w:val="es-ES"/>
        </w:rPr>
      </w:pPr>
      <w:r w:rsidRPr="00213C2F">
        <w:rPr>
          <w:rFonts w:ascii="Arial" w:hAnsi="Arial" w:cs="Arial"/>
          <w:bCs w:val="0"/>
          <w:sz w:val="28"/>
          <w:szCs w:val="20"/>
          <w:u w:val="single"/>
          <w:lang w:val="es-ES"/>
        </w:rPr>
        <w:t>3. Distribución en caso de abastecimiento simultáneo</w:t>
      </w:r>
      <w:r w:rsidRPr="00A63F8B">
        <w:rPr>
          <w:rFonts w:ascii="Arial" w:hAnsi="Arial" w:cs="Arial"/>
          <w:bCs w:val="0"/>
          <w:sz w:val="28"/>
          <w:szCs w:val="20"/>
          <w:lang w:val="es-ES"/>
        </w:rPr>
        <w:t>: No Aplica</w:t>
      </w:r>
      <w:r>
        <w:rPr>
          <w:rFonts w:ascii="Arial" w:hAnsi="Arial" w:cs="Arial"/>
          <w:bCs w:val="0"/>
          <w:sz w:val="28"/>
          <w:szCs w:val="20"/>
          <w:lang w:val="es-ES"/>
        </w:rPr>
        <w:t>.</w:t>
      </w:r>
    </w:p>
    <w:p w14:paraId="6FF9A05F" w14:textId="607F940E" w:rsidR="00E4280A" w:rsidRPr="00B3616F" w:rsidRDefault="00E4280A" w:rsidP="00E0302C">
      <w:pPr>
        <w:spacing w:after="0" w:line="360" w:lineRule="auto"/>
        <w:jc w:val="both"/>
        <w:rPr>
          <w:rFonts w:ascii="Arial" w:eastAsia="Times New Roman" w:hAnsi="Arial" w:cs="Arial"/>
          <w:b/>
          <w:lang w:val="es-ES" w:eastAsia="es-ES"/>
        </w:rPr>
        <w:sectPr w:rsidR="00E4280A" w:rsidRPr="00B3616F" w:rsidSect="00B953EB">
          <w:headerReference w:type="default" r:id="rId12"/>
          <w:pgSz w:w="11907" w:h="18711" w:code="14"/>
          <w:pgMar w:top="1418" w:right="1701" w:bottom="1418" w:left="1701" w:header="709" w:footer="709" w:gutter="0"/>
          <w:cols w:space="708"/>
          <w:titlePg/>
          <w:docGrid w:linePitch="360"/>
        </w:sectPr>
      </w:pPr>
      <w:r w:rsidRPr="00B3616F">
        <w:rPr>
          <w:rFonts w:ascii="Arial" w:eastAsia="Times New Roman" w:hAnsi="Arial" w:cs="Arial"/>
          <w:b/>
          <w:highlight w:val="yellow"/>
          <w:lang w:val="es-ES"/>
        </w:rPr>
        <w:t>EL ANEXO  D FORMULARIOS SE ENCUENTRA EN  ARCHIVO APARTE, A TAL EFECTO LA CONVOCA</w:t>
      </w:r>
      <w:r w:rsidR="00C53A7F" w:rsidRPr="00B3616F">
        <w:rPr>
          <w:rFonts w:ascii="Arial" w:eastAsia="Times New Roman" w:hAnsi="Arial" w:cs="Arial"/>
          <w:b/>
          <w:highlight w:val="yellow"/>
          <w:lang w:val="es-ES"/>
        </w:rPr>
        <w:t>N</w:t>
      </w:r>
      <w:r w:rsidRPr="00B3616F">
        <w:rPr>
          <w:rFonts w:ascii="Arial" w:eastAsia="Times New Roman" w:hAnsi="Arial" w:cs="Arial"/>
          <w:b/>
          <w:highlight w:val="yellow"/>
          <w:lang w:val="es-ES"/>
        </w:rPr>
        <w:t>TE DEBERÁ MANTENERLO EN FORMATO WORD A FIN DE QUE E</w:t>
      </w:r>
      <w:r w:rsidR="00C53A7F" w:rsidRPr="00B3616F">
        <w:rPr>
          <w:rFonts w:ascii="Arial" w:eastAsia="Times New Roman" w:hAnsi="Arial" w:cs="Arial"/>
          <w:b/>
          <w:highlight w:val="yellow"/>
          <w:lang w:val="es-ES"/>
        </w:rPr>
        <w:t>L</w:t>
      </w:r>
      <w:r w:rsidRPr="00B3616F">
        <w:rPr>
          <w:rFonts w:ascii="Arial" w:eastAsia="Times New Roman" w:hAnsi="Arial" w:cs="Arial"/>
          <w:b/>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19F34E44"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w:t>
            </w:r>
            <w:r w:rsidR="001B2714" w:rsidRPr="00C74B4B">
              <w:rPr>
                <w:rFonts w:ascii="Arial" w:hAnsi="Arial" w:cs="Arial"/>
                <w:b/>
                <w:sz w:val="24"/>
              </w:rPr>
              <w:t>prohibiciones o</w:t>
            </w:r>
            <w:r w:rsidRPr="00C74B4B">
              <w:rPr>
                <w:rFonts w:ascii="Arial" w:hAnsi="Arial" w:cs="Arial"/>
                <w:b/>
                <w:sz w:val="24"/>
              </w:rPr>
              <w:t xml:space="preserve"> limitaciones </w:t>
            </w:r>
            <w:r w:rsidR="001B2714" w:rsidRPr="00C74B4B">
              <w:rPr>
                <w:rFonts w:ascii="Arial" w:hAnsi="Arial" w:cs="Arial"/>
                <w:b/>
                <w:sz w:val="24"/>
              </w:rPr>
              <w:t>para contratar</w:t>
            </w:r>
            <w:r w:rsidRPr="00C74B4B">
              <w:rPr>
                <w:rFonts w:ascii="Arial" w:hAnsi="Arial" w:cs="Arial"/>
                <w:b/>
                <w:sz w:val="24"/>
              </w:rPr>
              <w:t xml:space="preserve">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83406E">
            <w:pPr>
              <w:pStyle w:val="Prrafodelista"/>
              <w:numPr>
                <w:ilvl w:val="0"/>
                <w:numId w:val="37"/>
              </w:numPr>
              <w:spacing w:after="0" w:line="240" w:lineRule="auto"/>
              <w:ind w:left="379"/>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83406E">
            <w:pPr>
              <w:pStyle w:val="Prrafodelista"/>
              <w:numPr>
                <w:ilvl w:val="0"/>
                <w:numId w:val="37"/>
              </w:numPr>
              <w:spacing w:after="0" w:line="240" w:lineRule="auto"/>
              <w:ind w:left="588"/>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09A0C830" w:rsidR="00C243BA" w:rsidRPr="00C74B4B" w:rsidRDefault="00C243BA" w:rsidP="00ED12BA">
            <w:pPr>
              <w:rPr>
                <w:rFonts w:ascii="Arial" w:hAnsi="Arial" w:cs="Arial"/>
                <w:sz w:val="24"/>
              </w:rPr>
            </w:pPr>
            <w:r w:rsidRPr="00C74B4B">
              <w:rPr>
                <w:rFonts w:ascii="Arial" w:hAnsi="Arial" w:cs="Arial"/>
                <w:sz w:val="24"/>
              </w:rPr>
              <w:t xml:space="preserve">Original o Fotocopia del Consorcio constituido o del acuerdo de intención de constituir el Consorcio en caso de resultar adjudicados y antes de la firma del contrato, en el que se indicarán con precisión los puntos establecidos en el artículo 48, incisos 2° </w:t>
            </w:r>
            <w:r w:rsidR="00A228BF" w:rsidRPr="00C74B4B">
              <w:rPr>
                <w:rFonts w:ascii="Arial" w:hAnsi="Arial" w:cs="Arial"/>
                <w:sz w:val="24"/>
              </w:rPr>
              <w:t>y 3</w:t>
            </w:r>
            <w:r w:rsidRPr="00C74B4B">
              <w:rPr>
                <w:rFonts w:ascii="Arial" w:hAnsi="Arial" w:cs="Arial"/>
                <w:sz w:val="24"/>
              </w:rPr>
              <w:t>°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2945EDF" w:rsidR="00B72282" w:rsidRDefault="00B72282" w:rsidP="006119A4">
      <w:pPr>
        <w:pStyle w:val="Listaconvietas"/>
        <w:rPr>
          <w:rFonts w:ascii="Arial" w:hAnsi="Arial" w:cs="Arial"/>
          <w:sz w:val="24"/>
        </w:rPr>
      </w:pPr>
    </w:p>
    <w:p w14:paraId="41088467" w14:textId="7ECC32C3" w:rsidR="003D3D7E" w:rsidRDefault="003D3D7E" w:rsidP="006119A4">
      <w:pPr>
        <w:pStyle w:val="Listaconvietas"/>
        <w:rPr>
          <w:rFonts w:ascii="Arial" w:hAnsi="Arial" w:cs="Arial"/>
          <w:sz w:val="24"/>
        </w:rPr>
      </w:pPr>
    </w:p>
    <w:p w14:paraId="7AC470C0" w14:textId="5D267726" w:rsidR="003D3D7E" w:rsidRDefault="003D3D7E" w:rsidP="006119A4">
      <w:pPr>
        <w:pStyle w:val="Listaconvietas"/>
        <w:rPr>
          <w:rFonts w:ascii="Arial" w:hAnsi="Arial" w:cs="Arial"/>
          <w:sz w:val="24"/>
        </w:rPr>
      </w:pPr>
    </w:p>
    <w:p w14:paraId="27B5E152" w14:textId="0791CB94" w:rsidR="003D3D7E" w:rsidRDefault="003D3D7E" w:rsidP="006119A4">
      <w:pPr>
        <w:pStyle w:val="Listaconvietas"/>
        <w:rPr>
          <w:rFonts w:ascii="Arial" w:hAnsi="Arial" w:cs="Arial"/>
          <w:sz w:val="24"/>
        </w:rPr>
      </w:pPr>
    </w:p>
    <w:p w14:paraId="7F3B967F" w14:textId="77777777" w:rsidR="003D3D7E" w:rsidRPr="00C74B4B" w:rsidRDefault="003D3D7E"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6920B6">
        <w:trPr>
          <w:trHeight w:val="564"/>
          <w:jc w:val="center"/>
        </w:trPr>
        <w:tc>
          <w:tcPr>
            <w:tcW w:w="10231" w:type="dxa"/>
            <w:tcBorders>
              <w:top w:val="single" w:sz="2" w:space="0" w:color="auto"/>
              <w:bottom w:val="single" w:sz="2" w:space="0" w:color="auto"/>
            </w:tcBorders>
          </w:tcPr>
          <w:p w14:paraId="4F3E0DDD" w14:textId="48595A66" w:rsidR="00DD50D4" w:rsidRPr="006B7030" w:rsidRDefault="00B3616F" w:rsidP="0002614D">
            <w:pPr>
              <w:pStyle w:val="Prrafodelista"/>
              <w:numPr>
                <w:ilvl w:val="0"/>
                <w:numId w:val="50"/>
              </w:numPr>
              <w:ind w:left="446"/>
              <w:jc w:val="both"/>
              <w:rPr>
                <w:rFonts w:ascii="Arial" w:hAnsi="Arial" w:cs="Arial"/>
                <w:b/>
              </w:rPr>
            </w:pPr>
            <w:r w:rsidRPr="006B7030">
              <w:rPr>
                <w:rFonts w:ascii="Arial" w:hAnsi="Arial" w:cs="Arial"/>
                <w:iCs/>
              </w:rPr>
              <w:t>Copia de Balance General y del Estado de Resultados de los últimos (3) tres años de funcionamiento (201</w:t>
            </w:r>
            <w:r w:rsidR="003B48EA">
              <w:rPr>
                <w:rFonts w:ascii="Arial" w:hAnsi="Arial" w:cs="Arial"/>
                <w:iCs/>
              </w:rPr>
              <w:t>5</w:t>
            </w:r>
            <w:r w:rsidRPr="006B7030">
              <w:rPr>
                <w:rFonts w:ascii="Arial" w:hAnsi="Arial" w:cs="Arial"/>
                <w:iCs/>
              </w:rPr>
              <w:t>, 201</w:t>
            </w:r>
            <w:r w:rsidR="003B48EA">
              <w:rPr>
                <w:rFonts w:ascii="Arial" w:hAnsi="Arial" w:cs="Arial"/>
                <w:iCs/>
              </w:rPr>
              <w:t>6</w:t>
            </w:r>
            <w:r w:rsidRPr="006B7030">
              <w:rPr>
                <w:rFonts w:ascii="Arial" w:hAnsi="Arial" w:cs="Arial"/>
                <w:iCs/>
              </w:rPr>
              <w:t xml:space="preserve"> y 201</w:t>
            </w:r>
            <w:r w:rsidR="0002614D" w:rsidRPr="006B7030">
              <w:rPr>
                <w:rFonts w:ascii="Arial" w:hAnsi="Arial" w:cs="Arial"/>
                <w:iCs/>
              </w:rPr>
              <w:t>7</w:t>
            </w:r>
            <w:r w:rsidRPr="006B7030">
              <w:rPr>
                <w:rFonts w:ascii="Arial" w:hAnsi="Arial" w:cs="Arial"/>
                <w:iCs/>
              </w:rPr>
              <w:t>), clasificado en corriente y no corriente, conforme al formato establecido por la SET.</w:t>
            </w:r>
          </w:p>
        </w:tc>
      </w:tr>
      <w:tr w:rsidR="006920B6" w:rsidRPr="00C74B4B" w14:paraId="32C5C238" w14:textId="77777777" w:rsidTr="006920B6">
        <w:trPr>
          <w:trHeight w:val="564"/>
          <w:jc w:val="center"/>
        </w:trPr>
        <w:tc>
          <w:tcPr>
            <w:tcW w:w="10231" w:type="dxa"/>
            <w:tcBorders>
              <w:top w:val="single" w:sz="2" w:space="0" w:color="auto"/>
              <w:bottom w:val="single" w:sz="2" w:space="0" w:color="auto"/>
            </w:tcBorders>
          </w:tcPr>
          <w:p w14:paraId="255E6E9A" w14:textId="75A06825" w:rsidR="006920B6" w:rsidRPr="00F566C2" w:rsidRDefault="00E5581E" w:rsidP="00F566C2">
            <w:pPr>
              <w:ind w:left="446" w:hanging="284"/>
              <w:jc w:val="both"/>
              <w:rPr>
                <w:rFonts w:ascii="Arial" w:hAnsi="Arial" w:cs="Arial"/>
                <w:iCs/>
                <w:sz w:val="24"/>
              </w:rPr>
            </w:pPr>
            <w:r w:rsidRPr="00F566C2">
              <w:rPr>
                <w:rFonts w:ascii="Arial" w:hAnsi="Arial" w:cs="Arial"/>
                <w:iCs/>
              </w:rPr>
              <w:t xml:space="preserve">2. </w:t>
            </w:r>
            <w:r w:rsidR="006920B6" w:rsidRPr="00F566C2">
              <w:rPr>
                <w:rFonts w:ascii="Arial" w:hAnsi="Arial" w:cs="Arial"/>
                <w:iCs/>
                <w:lang w:val="es-ES"/>
              </w:rPr>
              <w:t xml:space="preserve">Contratos ejecutados y/o facturaciones de </w:t>
            </w:r>
            <w:r w:rsidR="00A228BF">
              <w:rPr>
                <w:rFonts w:ascii="Arial" w:hAnsi="Arial" w:cs="Arial"/>
                <w:iCs/>
                <w:lang w:val="es-ES"/>
              </w:rPr>
              <w:t xml:space="preserve">provisión de Gases y </w:t>
            </w:r>
            <w:r w:rsidR="00C46BB7">
              <w:rPr>
                <w:rFonts w:ascii="Arial" w:hAnsi="Arial" w:cs="Arial"/>
                <w:iCs/>
                <w:lang w:val="es-ES"/>
              </w:rPr>
              <w:t>Nitrógenos</w:t>
            </w:r>
            <w:r w:rsidR="006920B6" w:rsidRPr="00F566C2">
              <w:rPr>
                <w:rFonts w:ascii="Arial" w:hAnsi="Arial" w:cs="Arial"/>
                <w:iCs/>
                <w:lang w:val="es-ES"/>
              </w:rPr>
              <w:t xml:space="preserve">, </w:t>
            </w:r>
            <w:r w:rsidR="006920B6" w:rsidRPr="00F566C2">
              <w:rPr>
                <w:rFonts w:ascii="Arial" w:hAnsi="Arial" w:cs="Arial"/>
                <w:b/>
                <w:iCs/>
                <w:lang w:val="es-ES"/>
              </w:rPr>
              <w:t>acompañado de las documentaciones expedidas por la contratante que acredite un desempeño satisfactorio</w:t>
            </w:r>
            <w:r w:rsidR="006920B6" w:rsidRPr="00F566C2">
              <w:rPr>
                <w:rFonts w:ascii="Arial" w:hAnsi="Arial" w:cs="Arial"/>
                <w:iCs/>
                <w:lang w:val="es-ES"/>
              </w:rPr>
              <w:t>, cuya sumatoria de los tres últimos años (2015, 2016 y 2017) deberá ser como mínimo el 50 % (cincuenta por ciento) del monto ofertado en la presente contratación, los mismos podrán ser de entidades públicas y/o privadas</w:t>
            </w:r>
            <w:r w:rsidR="006920B6" w:rsidRPr="00F566C2">
              <w:rPr>
                <w:rFonts w:ascii="Arial" w:hAnsi="Arial" w:cs="Arial"/>
                <w:iCs/>
              </w:rPr>
              <w:t>.</w:t>
            </w:r>
            <w:r w:rsidR="006920B6" w:rsidRPr="00F566C2">
              <w:rPr>
                <w:rFonts w:ascii="Arial" w:hAnsi="Arial" w:cs="Arial"/>
                <w:iCs/>
                <w:lang w:val="es-ES"/>
              </w:rPr>
              <w:t>-</w:t>
            </w:r>
          </w:p>
        </w:tc>
      </w:tr>
      <w:tr w:rsidR="00503953" w:rsidRPr="00C74B4B" w14:paraId="234C3C74" w14:textId="77777777" w:rsidTr="006920B6">
        <w:trPr>
          <w:trHeight w:val="564"/>
          <w:jc w:val="center"/>
        </w:trPr>
        <w:tc>
          <w:tcPr>
            <w:tcW w:w="10231" w:type="dxa"/>
            <w:tcBorders>
              <w:top w:val="single" w:sz="2" w:space="0" w:color="auto"/>
              <w:bottom w:val="single" w:sz="2" w:space="0" w:color="auto"/>
            </w:tcBorders>
          </w:tcPr>
          <w:p w14:paraId="7D40355D" w14:textId="0669A13B" w:rsidR="00503953" w:rsidRPr="00F566C2" w:rsidRDefault="00503953" w:rsidP="00503953">
            <w:pPr>
              <w:pStyle w:val="Prrafodelista"/>
              <w:numPr>
                <w:ilvl w:val="0"/>
                <w:numId w:val="45"/>
              </w:numPr>
              <w:ind w:left="471"/>
              <w:jc w:val="both"/>
              <w:rPr>
                <w:rFonts w:ascii="Arial" w:hAnsi="Arial" w:cs="Arial"/>
              </w:rPr>
            </w:pPr>
            <w:r>
              <w:rPr>
                <w:rFonts w:ascii="Arial" w:hAnsi="Arial" w:cs="Arial"/>
              </w:rPr>
              <w:t xml:space="preserve">Formulario N° 10 </w:t>
            </w:r>
            <w:r w:rsidRPr="00503953">
              <w:rPr>
                <w:rFonts w:ascii="Arial" w:hAnsi="Arial" w:cs="Arial"/>
              </w:rPr>
              <w:t>Declaración Jurada de Productos Ofertados</w:t>
            </w:r>
            <w:r>
              <w:rPr>
                <w:rFonts w:ascii="Arial" w:hAnsi="Arial" w:cs="Arial"/>
              </w:rPr>
              <w:t>, completado y firmado.</w:t>
            </w:r>
          </w:p>
        </w:tc>
      </w:tr>
      <w:tr w:rsidR="00D413B8" w:rsidRPr="00C74B4B" w14:paraId="7328D4D7" w14:textId="77777777" w:rsidTr="006920B6">
        <w:trPr>
          <w:trHeight w:val="564"/>
          <w:jc w:val="center"/>
        </w:trPr>
        <w:tc>
          <w:tcPr>
            <w:tcW w:w="10231" w:type="dxa"/>
            <w:tcBorders>
              <w:top w:val="single" w:sz="2" w:space="0" w:color="auto"/>
              <w:bottom w:val="single" w:sz="2" w:space="0" w:color="auto"/>
            </w:tcBorders>
          </w:tcPr>
          <w:p w14:paraId="26004376" w14:textId="147EB322" w:rsidR="00D413B8" w:rsidRPr="00D413B8" w:rsidRDefault="00D413B8" w:rsidP="00F566C2">
            <w:pPr>
              <w:pStyle w:val="Prrafodelista"/>
              <w:numPr>
                <w:ilvl w:val="0"/>
                <w:numId w:val="45"/>
              </w:numPr>
              <w:ind w:left="446"/>
              <w:jc w:val="both"/>
              <w:rPr>
                <w:rFonts w:ascii="Arial" w:hAnsi="Arial" w:cs="Arial"/>
              </w:rPr>
            </w:pPr>
            <w:r w:rsidRPr="00D413B8">
              <w:rPr>
                <w:rFonts w:ascii="Arial" w:hAnsi="Arial" w:cs="Arial"/>
                <w:iCs/>
                <w:lang w:val="es-ES"/>
              </w:rPr>
              <w:t xml:space="preserve">Carta de Autorización del Fabricante </w:t>
            </w:r>
            <w:r w:rsidRPr="00D413B8">
              <w:rPr>
                <w:rFonts w:ascii="Arial" w:hAnsi="Arial" w:cs="Arial"/>
                <w:b/>
                <w:iCs/>
                <w:lang w:val="es-ES"/>
              </w:rPr>
              <w:t>(original o copia autenticada por escribanía)</w:t>
            </w:r>
            <w:r w:rsidRPr="00D413B8">
              <w:rPr>
                <w:rFonts w:ascii="Arial" w:hAnsi="Arial" w:cs="Arial"/>
                <w:iCs/>
                <w:lang w:val="es-ES"/>
              </w:rPr>
              <w:t xml:space="preserve"> que indique que el oferente es un representante autorizado en el Paraguay, o p</w:t>
            </w:r>
            <w:r w:rsidRPr="00D413B8">
              <w:rPr>
                <w:rFonts w:ascii="Arial" w:hAnsi="Arial" w:cs="Arial"/>
                <w:bCs/>
                <w:iCs/>
                <w:lang w:val="es-ES"/>
              </w:rPr>
              <w:t>resentar los documentos que demuestren la cadena de autorizaciones desde el fabricante hasta el oferente, vigente y emitida con fecha anterior a la apertura de ofertas.</w:t>
            </w:r>
          </w:p>
        </w:tc>
      </w:tr>
      <w:tr w:rsidR="006920B6" w:rsidRPr="00C74B4B" w14:paraId="418022A5" w14:textId="77777777" w:rsidTr="006920B6">
        <w:trPr>
          <w:trHeight w:val="564"/>
          <w:jc w:val="center"/>
        </w:trPr>
        <w:tc>
          <w:tcPr>
            <w:tcW w:w="10231" w:type="dxa"/>
            <w:tcBorders>
              <w:top w:val="single" w:sz="2" w:space="0" w:color="auto"/>
              <w:bottom w:val="single" w:sz="2" w:space="0" w:color="auto"/>
            </w:tcBorders>
          </w:tcPr>
          <w:p w14:paraId="1BC3CC45" w14:textId="38249057" w:rsidR="006920B6" w:rsidRPr="00F566C2" w:rsidRDefault="006920B6" w:rsidP="00F566C2">
            <w:pPr>
              <w:pStyle w:val="Prrafodelista"/>
              <w:numPr>
                <w:ilvl w:val="0"/>
                <w:numId w:val="45"/>
              </w:numPr>
              <w:ind w:left="446"/>
              <w:jc w:val="both"/>
              <w:rPr>
                <w:rFonts w:ascii="Arial" w:hAnsi="Arial" w:cs="Arial"/>
                <w:iCs/>
                <w:sz w:val="24"/>
              </w:rPr>
            </w:pPr>
            <w:r w:rsidRPr="00F566C2">
              <w:rPr>
                <w:rFonts w:ascii="Arial" w:hAnsi="Arial" w:cs="Arial"/>
              </w:rPr>
              <w:t>Formulario de Impuesto a la Renta y de la última declaración de IVA, acompañado de la copia de la boleta de pago si corresponde.</w:t>
            </w:r>
          </w:p>
        </w:tc>
      </w:tr>
      <w:tr w:rsidR="006920B6" w:rsidRPr="00C74B4B" w14:paraId="58DB49D8" w14:textId="77777777" w:rsidTr="006920B6">
        <w:trPr>
          <w:trHeight w:val="564"/>
          <w:jc w:val="center"/>
        </w:trPr>
        <w:tc>
          <w:tcPr>
            <w:tcW w:w="10231" w:type="dxa"/>
            <w:tcBorders>
              <w:top w:val="single" w:sz="2" w:space="0" w:color="auto"/>
              <w:bottom w:val="single" w:sz="2" w:space="0" w:color="auto"/>
            </w:tcBorders>
          </w:tcPr>
          <w:p w14:paraId="724EECB1" w14:textId="0F952B57" w:rsidR="006920B6" w:rsidRPr="00F566C2" w:rsidRDefault="006920B6" w:rsidP="00F566C2">
            <w:pPr>
              <w:pStyle w:val="Prrafodelista"/>
              <w:numPr>
                <w:ilvl w:val="0"/>
                <w:numId w:val="45"/>
              </w:numPr>
              <w:ind w:left="446"/>
              <w:jc w:val="both"/>
              <w:rPr>
                <w:rFonts w:ascii="Arial" w:hAnsi="Arial" w:cs="Arial"/>
                <w:iCs/>
                <w:sz w:val="24"/>
              </w:rPr>
            </w:pPr>
            <w:r w:rsidRPr="00F566C2">
              <w:rPr>
                <w:rFonts w:ascii="Arial" w:hAnsi="Arial" w:cs="Arial"/>
              </w:rPr>
              <w:t>Certificado de cumplimiento del Seguro Social vigente o Constancia de no estar inscripto. (Original o copia autenticada).</w:t>
            </w:r>
          </w:p>
        </w:tc>
      </w:tr>
      <w:tr w:rsidR="006920B6" w:rsidRPr="00C74B4B" w14:paraId="6C3A6DE1" w14:textId="77777777" w:rsidTr="006920B6">
        <w:trPr>
          <w:trHeight w:val="564"/>
          <w:jc w:val="center"/>
        </w:trPr>
        <w:tc>
          <w:tcPr>
            <w:tcW w:w="10231" w:type="dxa"/>
            <w:tcBorders>
              <w:top w:val="single" w:sz="2" w:space="0" w:color="auto"/>
              <w:bottom w:val="single" w:sz="2" w:space="0" w:color="auto"/>
            </w:tcBorders>
          </w:tcPr>
          <w:p w14:paraId="544B6A50" w14:textId="5F854763" w:rsidR="006920B6" w:rsidRPr="00F566C2" w:rsidRDefault="006920B6" w:rsidP="00F566C2">
            <w:pPr>
              <w:pStyle w:val="Prrafodelista"/>
              <w:numPr>
                <w:ilvl w:val="0"/>
                <w:numId w:val="45"/>
              </w:numPr>
              <w:ind w:left="446"/>
              <w:jc w:val="both"/>
              <w:rPr>
                <w:rFonts w:ascii="Arial" w:hAnsi="Arial" w:cs="Arial"/>
                <w:iCs/>
                <w:sz w:val="24"/>
              </w:rPr>
            </w:pPr>
            <w:r w:rsidRPr="00F566C2">
              <w:rPr>
                <w:rFonts w:ascii="Arial" w:hAnsi="Arial" w:cs="Arial"/>
              </w:rPr>
              <w:t>Nota dirigida a la Convocante, en carácter de Declaración Jurada, en donde se listará el nombre y apellido del/los propietario/s, socios, accionistas, apoderados, representantes legales, miembros de la alta dirección, administración o sindicatura, indicando el número del documento de identidad (Cédula de Identidad) y cargo que ocupa en la empresa.</w:t>
            </w:r>
          </w:p>
        </w:tc>
      </w:tr>
      <w:tr w:rsidR="006920B6" w:rsidRPr="00C74B4B" w14:paraId="3EA7E8A1" w14:textId="77777777" w:rsidTr="00963C8B">
        <w:trPr>
          <w:trHeight w:val="564"/>
          <w:jc w:val="center"/>
        </w:trPr>
        <w:tc>
          <w:tcPr>
            <w:tcW w:w="10231" w:type="dxa"/>
            <w:tcBorders>
              <w:top w:val="single" w:sz="2" w:space="0" w:color="auto"/>
            </w:tcBorders>
          </w:tcPr>
          <w:p w14:paraId="57A3B6C8" w14:textId="5B5DE6BE" w:rsidR="006920B6" w:rsidRPr="00F566C2" w:rsidRDefault="006920B6" w:rsidP="00F566C2">
            <w:pPr>
              <w:pStyle w:val="Prrafodelista"/>
              <w:numPr>
                <w:ilvl w:val="0"/>
                <w:numId w:val="45"/>
              </w:numPr>
              <w:ind w:left="446"/>
              <w:jc w:val="both"/>
              <w:rPr>
                <w:rFonts w:ascii="Arial" w:hAnsi="Arial" w:cs="Arial"/>
                <w:iCs/>
                <w:sz w:val="24"/>
              </w:rPr>
            </w:pPr>
            <w:r w:rsidRPr="00F566C2">
              <w:rPr>
                <w:rFonts w:ascii="Arial" w:hAnsi="Arial" w:cs="Arial"/>
              </w:rPr>
              <w:t xml:space="preserve">Certificado de Origen Nacional emitido por la Dirección General de Desarrollo Empresarial del Ministerio de Industria y Comercio, según lo dispuesto en el </w:t>
            </w:r>
            <w:r w:rsidR="00F566C2" w:rsidRPr="00F566C2">
              <w:rPr>
                <w:rFonts w:ascii="Arial" w:hAnsi="Arial" w:cs="Arial"/>
              </w:rPr>
              <w:t>Decreto N</w:t>
            </w:r>
            <w:r w:rsidRPr="00F566C2">
              <w:rPr>
                <w:rFonts w:ascii="Arial" w:hAnsi="Arial" w:cs="Arial"/>
              </w:rPr>
              <w:t xml:space="preserve">° 9649/12 de fecha 07/09/12 que reglamenta la Ley N° 4558/11. Así mismo, se aceptará la presentación de la Constancia de inicio de los trámites para la obtención del Certificado al momento de la Apertura de Sobres. Posteriormente el Comité de Evaluación podrá solicitar el Certificado respectivo. La no presentación de la documentación mencionada no será motivo </w:t>
            </w:r>
            <w:r w:rsidR="00F566C2" w:rsidRPr="00F566C2">
              <w:rPr>
                <w:rFonts w:ascii="Arial" w:hAnsi="Arial" w:cs="Arial"/>
              </w:rPr>
              <w:t>de descalificación</w:t>
            </w:r>
            <w:r w:rsidRPr="00F566C2">
              <w:rPr>
                <w:rFonts w:ascii="Arial" w:hAnsi="Arial" w:cs="Arial"/>
              </w:rPr>
              <w:t xml:space="preserve"> a los oferentes.</w:t>
            </w:r>
          </w:p>
        </w:tc>
      </w:tr>
    </w:tbl>
    <w:p w14:paraId="0661DBC2" w14:textId="77777777" w:rsidR="002D4C87" w:rsidRPr="00C74B4B" w:rsidRDefault="002D4C87" w:rsidP="006119A4">
      <w:pPr>
        <w:pStyle w:val="Listaconvietas"/>
        <w:rPr>
          <w:rFonts w:ascii="Arial" w:hAnsi="Arial" w:cs="Arial"/>
          <w:sz w:val="24"/>
        </w:rPr>
      </w:pPr>
    </w:p>
    <w:p w14:paraId="6CCE5C79" w14:textId="505AEF74" w:rsidR="00D619CB" w:rsidRPr="003D3D7E" w:rsidRDefault="006119A4" w:rsidP="007A270F">
      <w:pPr>
        <w:pStyle w:val="Listaconvietas"/>
        <w:ind w:left="-567"/>
        <w:rPr>
          <w:rFonts w:ascii="Arial" w:hAnsi="Arial" w:cs="Arial"/>
          <w:sz w:val="24"/>
          <w:szCs w:val="24"/>
        </w:rPr>
      </w:pPr>
      <w:r w:rsidRPr="003D3D7E">
        <w:rPr>
          <w:rFonts w:ascii="Arial" w:hAnsi="Arial" w:cs="Arial"/>
          <w:sz w:val="24"/>
          <w:szCs w:val="24"/>
        </w:rPr>
        <w:t>*Documentos Sustanciales: presentar con la oferta pues no son susceptibles de presentación posterior a la fecha de presentación y</w:t>
      </w:r>
      <w:r w:rsidR="00B72282" w:rsidRPr="003D3D7E">
        <w:rPr>
          <w:rFonts w:ascii="Arial" w:hAnsi="Arial" w:cs="Arial"/>
          <w:sz w:val="24"/>
          <w:szCs w:val="24"/>
        </w:rPr>
        <w:t xml:space="preserve"> </w:t>
      </w:r>
      <w:r w:rsidRPr="003D3D7E">
        <w:rPr>
          <w:rFonts w:ascii="Arial" w:hAnsi="Arial" w:cs="Arial"/>
          <w:sz w:val="24"/>
          <w:szCs w:val="24"/>
        </w:rPr>
        <w:t xml:space="preserve">a apertura de </w:t>
      </w:r>
      <w:r w:rsidR="00A228BF" w:rsidRPr="003D3D7E">
        <w:rPr>
          <w:rFonts w:ascii="Arial" w:hAnsi="Arial" w:cs="Arial"/>
          <w:sz w:val="24"/>
          <w:szCs w:val="24"/>
        </w:rPr>
        <w:t>ofertas. -</w:t>
      </w:r>
    </w:p>
    <w:p w14:paraId="562306AB" w14:textId="77777777" w:rsidR="006D0B4A" w:rsidRPr="003D3D7E" w:rsidRDefault="006D0B4A" w:rsidP="007A270F">
      <w:pPr>
        <w:pStyle w:val="Listaconvietas"/>
        <w:ind w:left="-567"/>
        <w:rPr>
          <w:rFonts w:ascii="Arial" w:hAnsi="Arial" w:cs="Arial"/>
          <w:sz w:val="24"/>
          <w:szCs w:val="24"/>
        </w:rPr>
      </w:pPr>
    </w:p>
    <w:p w14:paraId="28DD3716" w14:textId="5F949036" w:rsidR="006119A4" w:rsidRPr="003D3D7E" w:rsidRDefault="006119A4" w:rsidP="007A270F">
      <w:pPr>
        <w:pStyle w:val="Listaconvietas"/>
        <w:ind w:left="-567"/>
        <w:rPr>
          <w:rFonts w:ascii="Arial" w:hAnsi="Arial" w:cs="Arial"/>
          <w:b w:val="0"/>
          <w:sz w:val="24"/>
          <w:szCs w:val="24"/>
          <w:lang w:val="es-MX"/>
        </w:rPr>
      </w:pPr>
      <w:r w:rsidRPr="003D3D7E">
        <w:rPr>
          <w:rFonts w:ascii="Arial" w:hAnsi="Arial" w:cs="Arial"/>
          <w:sz w:val="24"/>
          <w:szCs w:val="24"/>
        </w:rPr>
        <w:t xml:space="preserve">Observación: </w:t>
      </w:r>
      <w:r w:rsidRPr="003D3D7E">
        <w:rPr>
          <w:rFonts w:ascii="Arial" w:hAnsi="Arial" w:cs="Arial"/>
          <w:b w:val="0"/>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3D3D7E">
        <w:rPr>
          <w:rFonts w:ascii="Arial" w:hAnsi="Arial" w:cs="Arial"/>
          <w:sz w:val="24"/>
          <w:szCs w:val="24"/>
          <w:lang w:val="es-MX"/>
        </w:rPr>
        <w:t xml:space="preserve"> “ACTIVO</w:t>
      </w:r>
      <w:r w:rsidR="00A76E5D" w:rsidRPr="003D3D7E">
        <w:rPr>
          <w:rFonts w:ascii="Arial" w:hAnsi="Arial" w:cs="Arial"/>
          <w:sz w:val="24"/>
          <w:szCs w:val="24"/>
          <w:lang w:val="es-MX"/>
        </w:rPr>
        <w:t xml:space="preserve"> o HISTORICO</w:t>
      </w:r>
      <w:r w:rsidRPr="003D3D7E">
        <w:rPr>
          <w:rFonts w:ascii="Arial" w:hAnsi="Arial" w:cs="Arial"/>
          <w:b w:val="0"/>
          <w:sz w:val="24"/>
          <w:szCs w:val="24"/>
          <w:lang w:val="es-MX"/>
        </w:rPr>
        <w:t>”.</w:t>
      </w:r>
      <w:r w:rsidR="000A79FA" w:rsidRPr="003D3D7E">
        <w:rPr>
          <w:rFonts w:ascii="Arial" w:hAnsi="Arial" w:cs="Arial"/>
          <w:b w:val="0"/>
          <w:sz w:val="24"/>
          <w:szCs w:val="24"/>
          <w:lang w:val="es-MX"/>
        </w:rPr>
        <w:t xml:space="preserve"> La inscripción en el SIPE no constituirá requisito previo para la presentación ni </w:t>
      </w:r>
      <w:r w:rsidR="00DB5398" w:rsidRPr="003D3D7E">
        <w:rPr>
          <w:rFonts w:ascii="Arial" w:hAnsi="Arial" w:cs="Arial"/>
          <w:b w:val="0"/>
          <w:sz w:val="24"/>
          <w:szCs w:val="24"/>
          <w:lang w:val="es-MX"/>
        </w:rPr>
        <w:t>adjudicación</w:t>
      </w:r>
      <w:r w:rsidR="000A79FA" w:rsidRPr="003D3D7E">
        <w:rPr>
          <w:rFonts w:ascii="Arial" w:hAnsi="Arial" w:cs="Arial"/>
          <w:b w:val="0"/>
          <w:sz w:val="24"/>
          <w:szCs w:val="24"/>
          <w:lang w:val="es-MX"/>
        </w:rPr>
        <w:t xml:space="preserve"> de los oferentes; no </w:t>
      </w:r>
      <w:proofErr w:type="gramStart"/>
      <w:r w:rsidR="000A79FA" w:rsidRPr="003D3D7E">
        <w:rPr>
          <w:rFonts w:ascii="Arial" w:hAnsi="Arial" w:cs="Arial"/>
          <w:b w:val="0"/>
          <w:sz w:val="24"/>
          <w:szCs w:val="24"/>
          <w:lang w:val="es-MX"/>
        </w:rPr>
        <w:t>obstante</w:t>
      </w:r>
      <w:proofErr w:type="gramEnd"/>
      <w:r w:rsidR="000A79FA" w:rsidRPr="003D3D7E">
        <w:rPr>
          <w:rFonts w:ascii="Arial" w:hAnsi="Arial" w:cs="Arial"/>
          <w:b w:val="0"/>
          <w:sz w:val="24"/>
          <w:szCs w:val="24"/>
          <w:lang w:val="es-MX"/>
        </w:rPr>
        <w:t xml:space="preserv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02614D" w:rsidRDefault="00615527" w:rsidP="00213C2F">
      <w:pPr>
        <w:spacing w:after="0" w:line="240" w:lineRule="auto"/>
        <w:jc w:val="both"/>
        <w:rPr>
          <w:rFonts w:ascii="Arial" w:hAnsi="Arial" w:cs="Arial"/>
          <w:b/>
          <w:sz w:val="28"/>
          <w:szCs w:val="28"/>
          <w:u w:val="single"/>
        </w:rPr>
      </w:pPr>
      <w:r w:rsidRPr="0002614D">
        <w:rPr>
          <w:rFonts w:ascii="Arial" w:hAnsi="Arial" w:cs="Arial"/>
          <w:b/>
          <w:sz w:val="28"/>
          <w:szCs w:val="28"/>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02614D"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2"/>
          <w:szCs w:val="22"/>
        </w:rPr>
      </w:pPr>
      <w:r w:rsidRPr="0002614D">
        <w:rPr>
          <w:rFonts w:ascii="Arial" w:hAnsi="Arial" w:cs="Arial"/>
          <w:sz w:val="22"/>
          <w:szCs w:val="22"/>
        </w:rPr>
        <w:t>Los siguientes documentos deberán ser para la firma del contrato cuando no hayan sido presentados junto con la oferta, y no consten como “activos” en el SIPE.</w:t>
      </w:r>
    </w:p>
    <w:p w14:paraId="5F242149" w14:textId="77777777" w:rsidR="006119A4" w:rsidRPr="0002614D" w:rsidRDefault="006119A4" w:rsidP="001604C4">
      <w:pPr>
        <w:numPr>
          <w:ilvl w:val="3"/>
          <w:numId w:val="6"/>
        </w:numPr>
        <w:spacing w:after="0" w:line="360" w:lineRule="auto"/>
        <w:ind w:left="407"/>
        <w:rPr>
          <w:rFonts w:ascii="Arial" w:hAnsi="Arial" w:cs="Arial"/>
          <w:b/>
        </w:rPr>
      </w:pPr>
      <w:r w:rsidRPr="0002614D">
        <w:rPr>
          <w:rFonts w:ascii="Arial" w:hAnsi="Arial" w:cs="Arial"/>
          <w:b/>
        </w:rPr>
        <w:t>Personas Físicas / Jurídicas</w:t>
      </w:r>
    </w:p>
    <w:p w14:paraId="081DD812" w14:textId="77777777" w:rsidR="006119A4" w:rsidRPr="0002614D" w:rsidRDefault="006119A4" w:rsidP="006015AF">
      <w:pPr>
        <w:pStyle w:val="Textodebloque"/>
        <w:widowControl w:val="0"/>
        <w:numPr>
          <w:ilvl w:val="0"/>
          <w:numId w:val="27"/>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Certificado de no encontrarse en quiebra o en convocatoria de acreedores expedido por la Dirección General de Registros Públicos;</w:t>
      </w:r>
    </w:p>
    <w:p w14:paraId="7BF6E940" w14:textId="77777777" w:rsidR="006119A4" w:rsidRPr="0002614D" w:rsidRDefault="006119A4" w:rsidP="006015AF">
      <w:pPr>
        <w:pStyle w:val="Textodebloque"/>
        <w:widowControl w:val="0"/>
        <w:numPr>
          <w:ilvl w:val="0"/>
          <w:numId w:val="27"/>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 xml:space="preserve">Certificado de no hallarse en interdicción judicial expedido por la Dirección General de Registros Públicos; </w:t>
      </w:r>
    </w:p>
    <w:p w14:paraId="4A5F3DBA" w14:textId="77777777" w:rsidR="006119A4" w:rsidRPr="0002614D" w:rsidRDefault="006119A4" w:rsidP="006015AF">
      <w:pPr>
        <w:pStyle w:val="Textodebloque"/>
        <w:widowControl w:val="0"/>
        <w:numPr>
          <w:ilvl w:val="0"/>
          <w:numId w:val="27"/>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Constancia de no adeudar aporte obrero patronal expedida por el Instituto de Previsión Social.</w:t>
      </w:r>
    </w:p>
    <w:p w14:paraId="42CFDD9D" w14:textId="77777777" w:rsidR="006119A4" w:rsidRDefault="006119A4" w:rsidP="006015AF">
      <w:pPr>
        <w:pStyle w:val="Textodebloque"/>
        <w:widowControl w:val="0"/>
        <w:numPr>
          <w:ilvl w:val="0"/>
          <w:numId w:val="27"/>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14:paraId="12B9A45B" w14:textId="77777777" w:rsidR="006015AF" w:rsidRPr="0002614D" w:rsidRDefault="006015AF" w:rsidP="006015AF">
      <w:pPr>
        <w:pStyle w:val="Textodebloque"/>
        <w:widowControl w:val="0"/>
        <w:tabs>
          <w:tab w:val="clear" w:pos="612"/>
          <w:tab w:val="left" w:pos="407"/>
        </w:tabs>
        <w:adjustRightInd w:val="0"/>
        <w:ind w:left="402" w:right="85" w:firstLine="0"/>
        <w:textAlignment w:val="baseline"/>
        <w:rPr>
          <w:rFonts w:ascii="Arial" w:hAnsi="Arial" w:cs="Arial"/>
          <w:sz w:val="22"/>
          <w:szCs w:val="22"/>
        </w:rPr>
      </w:pPr>
    </w:p>
    <w:p w14:paraId="3B75B018" w14:textId="77777777" w:rsidR="006119A4" w:rsidRPr="0002614D" w:rsidRDefault="006119A4" w:rsidP="001604C4">
      <w:pPr>
        <w:numPr>
          <w:ilvl w:val="3"/>
          <w:numId w:val="6"/>
        </w:numPr>
        <w:spacing w:after="0" w:line="360" w:lineRule="auto"/>
        <w:ind w:left="407"/>
        <w:rPr>
          <w:rFonts w:ascii="Arial" w:hAnsi="Arial" w:cs="Arial"/>
          <w:b/>
        </w:rPr>
      </w:pPr>
      <w:r w:rsidRPr="0002614D">
        <w:rPr>
          <w:rFonts w:ascii="Arial" w:hAnsi="Arial" w:cs="Arial"/>
          <w:b/>
        </w:rPr>
        <w:t>Documentos. Consorcios</w:t>
      </w:r>
    </w:p>
    <w:p w14:paraId="2CF15D50" w14:textId="77777777" w:rsidR="006119A4" w:rsidRPr="0002614D" w:rsidRDefault="006119A4" w:rsidP="006015AF">
      <w:pPr>
        <w:pStyle w:val="Textodebloque"/>
        <w:widowControl w:val="0"/>
        <w:numPr>
          <w:ilvl w:val="0"/>
          <w:numId w:val="28"/>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02614D" w:rsidRDefault="006119A4" w:rsidP="006015AF">
      <w:pPr>
        <w:pStyle w:val="Textodebloque"/>
        <w:widowControl w:val="0"/>
        <w:numPr>
          <w:ilvl w:val="0"/>
          <w:numId w:val="28"/>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02614D" w:rsidRDefault="006119A4" w:rsidP="006015AF">
      <w:pPr>
        <w:pStyle w:val="Textodebloque"/>
        <w:widowControl w:val="0"/>
        <w:numPr>
          <w:ilvl w:val="0"/>
          <w:numId w:val="28"/>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Documentos que acrediten las facultades del firmante del contrato para comprometer solidariamente al Consorcio.</w:t>
      </w:r>
    </w:p>
    <w:p w14:paraId="54E2F233" w14:textId="77777777" w:rsidR="006119A4" w:rsidRPr="0002614D" w:rsidRDefault="006119A4" w:rsidP="006015AF">
      <w:pPr>
        <w:pStyle w:val="Textodebloque"/>
        <w:widowControl w:val="0"/>
        <w:numPr>
          <w:ilvl w:val="0"/>
          <w:numId w:val="28"/>
        </w:numPr>
        <w:tabs>
          <w:tab w:val="clear" w:pos="612"/>
          <w:tab w:val="left" w:pos="407"/>
        </w:tabs>
        <w:adjustRightInd w:val="0"/>
        <w:ind w:left="402" w:right="85" w:hanging="357"/>
        <w:textAlignment w:val="baseline"/>
        <w:rPr>
          <w:rFonts w:ascii="Arial" w:hAnsi="Arial" w:cs="Arial"/>
          <w:sz w:val="22"/>
          <w:szCs w:val="22"/>
        </w:rPr>
      </w:pPr>
      <w:r w:rsidRPr="0002614D">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02614D"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2"/>
          <w:szCs w:val="22"/>
        </w:rPr>
      </w:pPr>
    </w:p>
    <w:p w14:paraId="21726A9E" w14:textId="3543813A" w:rsidR="006119A4" w:rsidRPr="0002614D" w:rsidRDefault="006119A4" w:rsidP="001604C4">
      <w:pPr>
        <w:numPr>
          <w:ilvl w:val="3"/>
          <w:numId w:val="6"/>
        </w:numPr>
        <w:spacing w:after="0" w:line="360" w:lineRule="auto"/>
        <w:ind w:left="407"/>
        <w:rPr>
          <w:rFonts w:ascii="Arial" w:hAnsi="Arial" w:cs="Arial"/>
          <w:b/>
        </w:rPr>
      </w:pPr>
      <w:r w:rsidRPr="0002614D">
        <w:rPr>
          <w:rFonts w:ascii="Arial" w:hAnsi="Arial" w:cs="Arial"/>
          <w:b/>
        </w:rPr>
        <w:t>Documentos</w:t>
      </w:r>
      <w:r w:rsidR="00061E4F" w:rsidRPr="0002614D">
        <w:rPr>
          <w:rFonts w:ascii="Arial" w:hAnsi="Arial" w:cs="Arial"/>
          <w:b/>
        </w:rPr>
        <w:t xml:space="preserve"> de origen extranjero</w:t>
      </w:r>
      <w:r w:rsidRPr="0002614D">
        <w:rPr>
          <w:rFonts w:ascii="Arial" w:hAnsi="Arial" w:cs="Arial"/>
          <w:b/>
        </w:rPr>
        <w:t>. Personas Físicas / Jurídicas y/o Consorcios</w:t>
      </w:r>
    </w:p>
    <w:p w14:paraId="69172E00" w14:textId="37333E03" w:rsidR="00061E4F" w:rsidRPr="0002614D" w:rsidRDefault="00061E4F" w:rsidP="006015AF">
      <w:pPr>
        <w:pStyle w:val="Textodebloque"/>
        <w:numPr>
          <w:ilvl w:val="0"/>
          <w:numId w:val="38"/>
        </w:numPr>
        <w:tabs>
          <w:tab w:val="clear" w:pos="612"/>
          <w:tab w:val="left" w:pos="407"/>
        </w:tabs>
        <w:ind w:left="714" w:right="85" w:hanging="357"/>
        <w:rPr>
          <w:rFonts w:ascii="Arial" w:hAnsi="Arial" w:cs="Arial"/>
          <w:sz w:val="22"/>
          <w:szCs w:val="22"/>
        </w:rPr>
      </w:pPr>
      <w:r w:rsidRPr="0002614D">
        <w:rPr>
          <w:rFonts w:ascii="Arial" w:hAnsi="Arial" w:cs="Arial"/>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02614D">
        <w:rPr>
          <w:rFonts w:ascii="Arial" w:hAnsi="Arial" w:cs="Arial"/>
          <w:sz w:val="22"/>
          <w:szCs w:val="22"/>
          <w:lang w:val="es-ES"/>
        </w:rPr>
        <w:t xml:space="preserve"> ser</w:t>
      </w:r>
      <w:r w:rsidRPr="0002614D">
        <w:rPr>
          <w:rFonts w:ascii="Arial" w:hAnsi="Arial" w:cs="Arial"/>
          <w:sz w:val="22"/>
          <w:szCs w:val="22"/>
          <w:lang w:val="es-ES"/>
        </w:rPr>
        <w:t xml:space="preserve"> legalizados por el Consulado Paraguayo del país de emisión del documento y del Ministerio de Relaciones Exteriores de la República del Paraguay.</w:t>
      </w:r>
    </w:p>
    <w:p w14:paraId="31D0199D" w14:textId="1885F0DB" w:rsidR="006119A4" w:rsidRPr="0002614D" w:rsidRDefault="00061E4F" w:rsidP="006015AF">
      <w:pPr>
        <w:pStyle w:val="Textodebloque"/>
        <w:numPr>
          <w:ilvl w:val="0"/>
          <w:numId w:val="38"/>
        </w:numPr>
        <w:tabs>
          <w:tab w:val="clear" w:pos="612"/>
          <w:tab w:val="left" w:pos="407"/>
        </w:tabs>
        <w:ind w:left="714" w:right="85" w:hanging="357"/>
        <w:rPr>
          <w:rFonts w:ascii="Arial" w:hAnsi="Arial" w:cs="Arial"/>
          <w:sz w:val="22"/>
          <w:szCs w:val="22"/>
        </w:rPr>
      </w:pPr>
      <w:r w:rsidRPr="0002614D">
        <w:rPr>
          <w:rFonts w:ascii="Arial" w:hAnsi="Arial" w:cs="Arial"/>
          <w:sz w:val="22"/>
          <w:szCs w:val="22"/>
          <w:lang w:val="es-ES"/>
        </w:rPr>
        <w:t xml:space="preserve">Los documentos de origen privado emitidos en el </w:t>
      </w:r>
      <w:r w:rsidR="00520C90" w:rsidRPr="0002614D">
        <w:rPr>
          <w:rFonts w:ascii="Arial" w:hAnsi="Arial" w:cs="Arial"/>
          <w:sz w:val="22"/>
          <w:szCs w:val="22"/>
          <w:lang w:val="es-ES"/>
        </w:rPr>
        <w:t>extranjero, deberán</w:t>
      </w:r>
      <w:r w:rsidRPr="0002614D">
        <w:rPr>
          <w:rFonts w:ascii="Arial" w:hAnsi="Arial" w:cs="Arial"/>
          <w:sz w:val="22"/>
          <w:szCs w:val="22"/>
          <w:lang w:val="es-ES"/>
        </w:rPr>
        <w:t xml:space="preserve">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2614D">
      <w:pgSz w:w="11907" w:h="18711" w:code="14"/>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7FA0B" w14:textId="77777777" w:rsidR="00CA544B" w:rsidRDefault="00CA544B" w:rsidP="003D1C8A">
      <w:pPr>
        <w:spacing w:after="0" w:line="240" w:lineRule="auto"/>
      </w:pPr>
      <w:r>
        <w:separator/>
      </w:r>
    </w:p>
  </w:endnote>
  <w:endnote w:type="continuationSeparator" w:id="0">
    <w:p w14:paraId="6BB01019" w14:textId="77777777" w:rsidR="00CA544B" w:rsidRDefault="00CA544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atangChe">
    <w:charset w:val="81"/>
    <w:family w:val="modern"/>
    <w:pitch w:val="fixed"/>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44055" w14:textId="77777777" w:rsidR="00CA544B" w:rsidRDefault="00CA544B" w:rsidP="003D1C8A">
      <w:pPr>
        <w:spacing w:after="0" w:line="240" w:lineRule="auto"/>
      </w:pPr>
      <w:r>
        <w:separator/>
      </w:r>
    </w:p>
  </w:footnote>
  <w:footnote w:type="continuationSeparator" w:id="0">
    <w:p w14:paraId="12A081C2" w14:textId="77777777" w:rsidR="00CA544B" w:rsidRDefault="00CA544B"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BA57" w14:textId="07209F63" w:rsidR="003D3D7E" w:rsidRDefault="003D3D7E" w:rsidP="003D3D7E">
    <w:pPr>
      <w:pStyle w:val="Encabezado"/>
      <w:tabs>
        <w:tab w:val="left" w:pos="2745"/>
      </w:tabs>
      <w:jc w:val="center"/>
    </w:pPr>
    <w:r>
      <w:rPr>
        <w:rFonts w:ascii="Lucida Handwriting" w:eastAsia="Times New Roman" w:hAnsi="Lucida Handwriting" w:cs="Times New Roman"/>
        <w:b/>
        <w:noProof/>
        <w:sz w:val="20"/>
        <w:szCs w:val="20"/>
        <w:lang w:eastAsia="es-PY"/>
      </w:rPr>
      <w:drawing>
        <wp:anchor distT="0" distB="0" distL="114300" distR="114300" simplePos="0" relativeHeight="251661312" behindDoc="1" locked="0" layoutInCell="1" allowOverlap="1" wp14:anchorId="3A18E6AB" wp14:editId="6364CDF9">
          <wp:simplePos x="0" y="0"/>
          <wp:positionH relativeFrom="margin">
            <wp:align>left</wp:align>
          </wp:positionH>
          <wp:positionV relativeFrom="paragraph">
            <wp:posOffset>-2742</wp:posOffset>
          </wp:positionV>
          <wp:extent cx="942489" cy="535022"/>
          <wp:effectExtent l="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54809" cy="542016"/>
                  </a:xfrm>
                  <a:prstGeom prst="rect">
                    <a:avLst/>
                  </a:prstGeom>
                  <a:noFill/>
                  <a:ln w="9525">
                    <a:noFill/>
                    <a:miter lim="800000"/>
                    <a:headEnd/>
                    <a:tailEnd/>
                  </a:ln>
                </pic:spPr>
              </pic:pic>
            </a:graphicData>
          </a:graphic>
          <wp14:sizeRelV relativeFrom="margin">
            <wp14:pctHeight>0</wp14:pctHeight>
          </wp14:sizeRelV>
        </wp:anchor>
      </w:drawing>
    </w:r>
  </w:p>
  <w:p w14:paraId="42B7651C" w14:textId="23C99332" w:rsidR="003D3D7E" w:rsidRPr="007C78D9" w:rsidRDefault="003D3D7E" w:rsidP="003D3D7E">
    <w:pPr>
      <w:pStyle w:val="Encabezado"/>
      <w:tabs>
        <w:tab w:val="left" w:pos="2745"/>
      </w:tabs>
      <w:jc w:val="center"/>
      <w:rPr>
        <w:rFonts w:ascii="Bodoni MT Black" w:hAnsi="Bodoni MT Black"/>
        <w:b/>
        <w:sz w:val="20"/>
        <w:szCs w:val="20"/>
        <w:lang w:val="es-ES_tradnl"/>
      </w:rPr>
    </w:pPr>
    <w:r w:rsidRPr="007C78D9">
      <w:rPr>
        <w:rFonts w:ascii="Bodoni MT Black" w:hAnsi="Bodoni MT Black"/>
        <w:b/>
        <w:sz w:val="20"/>
        <w:szCs w:val="20"/>
        <w:lang w:val="es-ES_tradnl"/>
      </w:rPr>
      <w:t>DEPARTAMENTO GESTION DE ADQUISICIONES</w:t>
    </w:r>
  </w:p>
  <w:p w14:paraId="10AEC448" w14:textId="0C54B03F" w:rsidR="003D3D7E" w:rsidRPr="007C78D9" w:rsidRDefault="00BE0830" w:rsidP="003D3D7E">
    <w:pPr>
      <w:pStyle w:val="Encabezado"/>
      <w:tabs>
        <w:tab w:val="left" w:pos="2745"/>
      </w:tabs>
      <w:ind w:left="1276" w:hanging="142"/>
      <w:rPr>
        <w:i/>
        <w:lang w:val="es-ES_tradnl"/>
      </w:rPr>
    </w:pPr>
    <w:r>
      <w:rPr>
        <w:i/>
        <w:lang w:val="es-ES_tradnl"/>
      </w:rPr>
      <w:t xml:space="preserve">    Contratación Directa N° 14</w:t>
    </w:r>
    <w:r w:rsidR="003D3D7E" w:rsidRPr="007C78D9">
      <w:rPr>
        <w:i/>
        <w:lang w:val="es-ES_tradnl"/>
      </w:rPr>
      <w:t>/201</w:t>
    </w:r>
    <w:r w:rsidR="003D3D7E">
      <w:rPr>
        <w:i/>
        <w:lang w:val="es-ES_tradnl"/>
      </w:rPr>
      <w:t>8</w:t>
    </w:r>
    <w:r w:rsidR="003D3D7E" w:rsidRPr="007C78D9">
      <w:rPr>
        <w:i/>
        <w:lang w:val="es-ES_tradnl"/>
      </w:rPr>
      <w:t xml:space="preserve"> “</w:t>
    </w:r>
    <w:r>
      <w:rPr>
        <w:i/>
        <w:lang w:val="es-ES_tradnl"/>
      </w:rPr>
      <w:t>Adquisición de Gases y Nitrógenos</w:t>
    </w:r>
    <w:r w:rsidR="003D3D7E" w:rsidRPr="007C78D9">
      <w:rPr>
        <w:i/>
        <w:lang w:val="es-ES_tradnl"/>
      </w:rPr>
      <w:t>”</w:t>
    </w:r>
  </w:p>
  <w:p w14:paraId="1BACC138" w14:textId="77777777" w:rsidR="003D3D7E" w:rsidRPr="007C78D9" w:rsidRDefault="003D3D7E" w:rsidP="003D3D7E">
    <w:pPr>
      <w:pStyle w:val="Encabezado"/>
      <w:tabs>
        <w:tab w:val="clear" w:pos="4419"/>
        <w:tab w:val="clear" w:pos="8838"/>
        <w:tab w:val="left" w:pos="2745"/>
      </w:tabs>
      <w:rPr>
        <w:lang w:val="es-ES_tradnl"/>
      </w:rPr>
    </w:pPr>
    <w:r>
      <w:rPr>
        <w:noProof/>
        <w:lang w:eastAsia="es-PY"/>
      </w:rPr>
      <mc:AlternateContent>
        <mc:Choice Requires="wps">
          <w:drawing>
            <wp:anchor distT="4294967295" distB="4294967295" distL="114300" distR="114300" simplePos="0" relativeHeight="251659264" behindDoc="0" locked="0" layoutInCell="1" allowOverlap="1" wp14:anchorId="4D7D4AA0" wp14:editId="5AA4A853">
              <wp:simplePos x="0" y="0"/>
              <wp:positionH relativeFrom="column">
                <wp:posOffset>81915</wp:posOffset>
              </wp:positionH>
              <wp:positionV relativeFrom="paragraph">
                <wp:posOffset>137794</wp:posOffset>
              </wp:positionV>
              <wp:extent cx="5276850" cy="0"/>
              <wp:effectExtent l="0" t="0" r="19050" b="19050"/>
              <wp:wrapNone/>
              <wp:docPr id="3"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68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FF80D2E"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10.85pt" to="421.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" strokecolor="windowText">
              <o:lock v:ext="edit" shapetype="f"/>
            </v:line>
          </w:pict>
        </mc:Fallback>
      </mc:AlternateContent>
    </w:r>
  </w:p>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FD2810"/>
    <w:multiLevelType w:val="hybridMultilevel"/>
    <w:tmpl w:val="2A86CB7C"/>
    <w:lvl w:ilvl="0" w:tplc="3C0A000D">
      <w:start w:val="1"/>
      <w:numFmt w:val="bullet"/>
      <w:lvlText w:val=""/>
      <w:lvlJc w:val="left"/>
      <w:pPr>
        <w:ind w:left="1429" w:hanging="360"/>
      </w:pPr>
      <w:rPr>
        <w:rFonts w:ascii="Wingdings" w:hAnsi="Wingdings" w:hint="default"/>
      </w:rPr>
    </w:lvl>
    <w:lvl w:ilvl="1" w:tplc="3C0A0003">
      <w:start w:val="1"/>
      <w:numFmt w:val="bullet"/>
      <w:lvlText w:val="o"/>
      <w:lvlJc w:val="left"/>
      <w:pPr>
        <w:ind w:left="2149" w:hanging="360"/>
      </w:pPr>
      <w:rPr>
        <w:rFonts w:ascii="Courier New" w:hAnsi="Courier New" w:cs="Courier New" w:hint="default"/>
      </w:rPr>
    </w:lvl>
    <w:lvl w:ilvl="2" w:tplc="3C0A0005">
      <w:start w:val="1"/>
      <w:numFmt w:val="bullet"/>
      <w:lvlText w:val=""/>
      <w:lvlJc w:val="left"/>
      <w:pPr>
        <w:ind w:left="2869" w:hanging="360"/>
      </w:pPr>
      <w:rPr>
        <w:rFonts w:ascii="Wingdings" w:hAnsi="Wingdings" w:hint="default"/>
      </w:rPr>
    </w:lvl>
    <w:lvl w:ilvl="3" w:tplc="3C0A0001">
      <w:start w:val="1"/>
      <w:numFmt w:val="bullet"/>
      <w:lvlText w:val=""/>
      <w:lvlJc w:val="left"/>
      <w:pPr>
        <w:ind w:left="3589" w:hanging="360"/>
      </w:pPr>
      <w:rPr>
        <w:rFonts w:ascii="Symbol" w:hAnsi="Symbol" w:hint="default"/>
      </w:rPr>
    </w:lvl>
    <w:lvl w:ilvl="4" w:tplc="3C0A0003">
      <w:start w:val="1"/>
      <w:numFmt w:val="bullet"/>
      <w:lvlText w:val="o"/>
      <w:lvlJc w:val="left"/>
      <w:pPr>
        <w:ind w:left="4309" w:hanging="360"/>
      </w:pPr>
      <w:rPr>
        <w:rFonts w:ascii="Courier New" w:hAnsi="Courier New" w:cs="Courier New" w:hint="default"/>
      </w:rPr>
    </w:lvl>
    <w:lvl w:ilvl="5" w:tplc="3C0A0005">
      <w:start w:val="1"/>
      <w:numFmt w:val="bullet"/>
      <w:lvlText w:val=""/>
      <w:lvlJc w:val="left"/>
      <w:pPr>
        <w:ind w:left="5029" w:hanging="360"/>
      </w:pPr>
      <w:rPr>
        <w:rFonts w:ascii="Wingdings" w:hAnsi="Wingdings" w:hint="default"/>
      </w:rPr>
    </w:lvl>
    <w:lvl w:ilvl="6" w:tplc="3C0A0001">
      <w:start w:val="1"/>
      <w:numFmt w:val="bullet"/>
      <w:lvlText w:val=""/>
      <w:lvlJc w:val="left"/>
      <w:pPr>
        <w:ind w:left="5749" w:hanging="360"/>
      </w:pPr>
      <w:rPr>
        <w:rFonts w:ascii="Symbol" w:hAnsi="Symbol" w:hint="default"/>
      </w:rPr>
    </w:lvl>
    <w:lvl w:ilvl="7" w:tplc="3C0A0003">
      <w:start w:val="1"/>
      <w:numFmt w:val="bullet"/>
      <w:lvlText w:val="o"/>
      <w:lvlJc w:val="left"/>
      <w:pPr>
        <w:ind w:left="6469" w:hanging="360"/>
      </w:pPr>
      <w:rPr>
        <w:rFonts w:ascii="Courier New" w:hAnsi="Courier New" w:cs="Courier New" w:hint="default"/>
      </w:rPr>
    </w:lvl>
    <w:lvl w:ilvl="8" w:tplc="3C0A0005">
      <w:start w:val="1"/>
      <w:numFmt w:val="bullet"/>
      <w:lvlText w:val=""/>
      <w:lvlJc w:val="left"/>
      <w:pPr>
        <w:ind w:left="7189" w:hanging="360"/>
      </w:pPr>
      <w:rPr>
        <w:rFonts w:ascii="Wingdings" w:hAnsi="Wingdings" w:hint="default"/>
      </w:rPr>
    </w:lvl>
  </w:abstractNum>
  <w:abstractNum w:abstractNumId="15"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6"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82A0A14"/>
    <w:multiLevelType w:val="hybridMultilevel"/>
    <w:tmpl w:val="D8223336"/>
    <w:lvl w:ilvl="0" w:tplc="2C9CEC2C">
      <w:start w:val="1"/>
      <w:numFmt w:val="decimal"/>
      <w:lvlText w:val="%1."/>
      <w:lvlJc w:val="left"/>
      <w:pPr>
        <w:ind w:left="720" w:hanging="360"/>
      </w:pPr>
      <w:rPr>
        <w:rFonts w:hint="default"/>
        <w:b w:val="0"/>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1"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0693822"/>
    <w:multiLevelType w:val="hybridMultilevel"/>
    <w:tmpl w:val="39FCE8A8"/>
    <w:lvl w:ilvl="0" w:tplc="1DBC3A8A">
      <w:start w:val="1"/>
      <w:numFmt w:val="decimal"/>
      <w:lvlText w:val="%1."/>
      <w:lvlJc w:val="left"/>
      <w:pPr>
        <w:ind w:left="720" w:hanging="360"/>
      </w:pPr>
      <w:rPr>
        <w:rFonts w:hint="default"/>
        <w:b w:val="0"/>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3"/>
  </w:num>
  <w:num w:numId="3">
    <w:abstractNumId w:val="5"/>
  </w:num>
  <w:num w:numId="4">
    <w:abstractNumId w:val="29"/>
  </w:num>
  <w:num w:numId="5">
    <w:abstractNumId w:val="30"/>
  </w:num>
  <w:num w:numId="6">
    <w:abstractNumId w:val="4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2"/>
  </w:num>
  <w:num w:numId="11">
    <w:abstractNumId w:val="39"/>
  </w:num>
  <w:num w:numId="12">
    <w:abstractNumId w:val="37"/>
  </w:num>
  <w:num w:numId="13">
    <w:abstractNumId w:val="36"/>
  </w:num>
  <w:num w:numId="14">
    <w:abstractNumId w:val="38"/>
  </w:num>
  <w:num w:numId="15">
    <w:abstractNumId w:val="18"/>
  </w:num>
  <w:num w:numId="16">
    <w:abstractNumId w:val="25"/>
  </w:num>
  <w:num w:numId="17">
    <w:abstractNumId w:val="43"/>
  </w:num>
  <w:num w:numId="18">
    <w:abstractNumId w:val="21"/>
  </w:num>
  <w:num w:numId="19">
    <w:abstractNumId w:val="7"/>
  </w:num>
  <w:num w:numId="20">
    <w:abstractNumId w:val="23"/>
  </w:num>
  <w:num w:numId="21">
    <w:abstractNumId w:val="2"/>
  </w:num>
  <w:num w:numId="22">
    <w:abstractNumId w:val="24"/>
  </w:num>
  <w:num w:numId="23">
    <w:abstractNumId w:val="45"/>
  </w:num>
  <w:num w:numId="24">
    <w:abstractNumId w:val="28"/>
  </w:num>
  <w:num w:numId="25">
    <w:abstractNumId w:val="48"/>
  </w:num>
  <w:num w:numId="26">
    <w:abstractNumId w:val="16"/>
  </w:num>
  <w:num w:numId="27">
    <w:abstractNumId w:val="19"/>
  </w:num>
  <w:num w:numId="28">
    <w:abstractNumId w:val="26"/>
  </w:num>
  <w:num w:numId="29">
    <w:abstractNumId w:val="31"/>
  </w:num>
  <w:num w:numId="30">
    <w:abstractNumId w:val="1"/>
  </w:num>
  <w:num w:numId="31">
    <w:abstractNumId w:val="22"/>
  </w:num>
  <w:num w:numId="32">
    <w:abstractNumId w:val="40"/>
  </w:num>
  <w:num w:numId="33">
    <w:abstractNumId w:val="9"/>
  </w:num>
  <w:num w:numId="34">
    <w:abstractNumId w:val="8"/>
  </w:num>
  <w:num w:numId="35">
    <w:abstractNumId w:val="46"/>
  </w:num>
  <w:num w:numId="36">
    <w:abstractNumId w:val="6"/>
  </w:num>
  <w:num w:numId="37">
    <w:abstractNumId w:val="49"/>
  </w:num>
  <w:num w:numId="38">
    <w:abstractNumId w:val="11"/>
  </w:num>
  <w:num w:numId="39">
    <w:abstractNumId w:val="17"/>
  </w:num>
  <w:num w:numId="40">
    <w:abstractNumId w:val="47"/>
  </w:num>
  <w:num w:numId="41">
    <w:abstractNumId w:val="34"/>
  </w:num>
  <w:num w:numId="42">
    <w:abstractNumId w:val="13"/>
  </w:num>
  <w:num w:numId="43">
    <w:abstractNumId w:val="35"/>
  </w:num>
  <w:num w:numId="44">
    <w:abstractNumId w:val="12"/>
  </w:num>
  <w:num w:numId="45">
    <w:abstractNumId w:val="41"/>
  </w:num>
  <w:num w:numId="46">
    <w:abstractNumId w:val="15"/>
  </w:num>
  <w:num w:numId="47">
    <w:abstractNumId w:val="0"/>
  </w:num>
  <w:num w:numId="48">
    <w:abstractNumId w:val="14"/>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614D"/>
    <w:rsid w:val="000279BC"/>
    <w:rsid w:val="0003412D"/>
    <w:rsid w:val="00035CEB"/>
    <w:rsid w:val="0004111A"/>
    <w:rsid w:val="00052A48"/>
    <w:rsid w:val="00061E4F"/>
    <w:rsid w:val="00067385"/>
    <w:rsid w:val="00070E64"/>
    <w:rsid w:val="00074656"/>
    <w:rsid w:val="0008485D"/>
    <w:rsid w:val="000A45A3"/>
    <w:rsid w:val="000A4BCF"/>
    <w:rsid w:val="000A69C9"/>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2714"/>
    <w:rsid w:val="001B32CF"/>
    <w:rsid w:val="001C252A"/>
    <w:rsid w:val="001C3235"/>
    <w:rsid w:val="001D7681"/>
    <w:rsid w:val="001E29FA"/>
    <w:rsid w:val="001E42A2"/>
    <w:rsid w:val="001E7859"/>
    <w:rsid w:val="001F02FA"/>
    <w:rsid w:val="001F62A3"/>
    <w:rsid w:val="001F6C1C"/>
    <w:rsid w:val="001F6D72"/>
    <w:rsid w:val="00200A95"/>
    <w:rsid w:val="00213C2F"/>
    <w:rsid w:val="00215499"/>
    <w:rsid w:val="00217A6B"/>
    <w:rsid w:val="00224944"/>
    <w:rsid w:val="002314F8"/>
    <w:rsid w:val="00235055"/>
    <w:rsid w:val="0023581C"/>
    <w:rsid w:val="0024223E"/>
    <w:rsid w:val="00243D51"/>
    <w:rsid w:val="00245C73"/>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32336"/>
    <w:rsid w:val="00333F3B"/>
    <w:rsid w:val="00344823"/>
    <w:rsid w:val="00363628"/>
    <w:rsid w:val="003640C8"/>
    <w:rsid w:val="00367B84"/>
    <w:rsid w:val="00373EE0"/>
    <w:rsid w:val="003815D1"/>
    <w:rsid w:val="003842CB"/>
    <w:rsid w:val="003A178E"/>
    <w:rsid w:val="003A1A86"/>
    <w:rsid w:val="003A3EE0"/>
    <w:rsid w:val="003B1AB1"/>
    <w:rsid w:val="003B1DF4"/>
    <w:rsid w:val="003B3B83"/>
    <w:rsid w:val="003B48EA"/>
    <w:rsid w:val="003B5283"/>
    <w:rsid w:val="003C0B8F"/>
    <w:rsid w:val="003D1C8A"/>
    <w:rsid w:val="003D3D7E"/>
    <w:rsid w:val="003D6B6F"/>
    <w:rsid w:val="003F0230"/>
    <w:rsid w:val="00401B45"/>
    <w:rsid w:val="00403559"/>
    <w:rsid w:val="004038B8"/>
    <w:rsid w:val="0041444B"/>
    <w:rsid w:val="004157BE"/>
    <w:rsid w:val="0042209C"/>
    <w:rsid w:val="00422221"/>
    <w:rsid w:val="00423C9F"/>
    <w:rsid w:val="00440F84"/>
    <w:rsid w:val="00446BEE"/>
    <w:rsid w:val="0045792C"/>
    <w:rsid w:val="004606E4"/>
    <w:rsid w:val="004638BB"/>
    <w:rsid w:val="00466DDE"/>
    <w:rsid w:val="00473AE7"/>
    <w:rsid w:val="00474BCE"/>
    <w:rsid w:val="00475497"/>
    <w:rsid w:val="00483BC5"/>
    <w:rsid w:val="004903D7"/>
    <w:rsid w:val="00490EE4"/>
    <w:rsid w:val="004916CA"/>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261"/>
    <w:rsid w:val="004E13B2"/>
    <w:rsid w:val="004E4203"/>
    <w:rsid w:val="004E69A3"/>
    <w:rsid w:val="004F587D"/>
    <w:rsid w:val="00503953"/>
    <w:rsid w:val="005104CE"/>
    <w:rsid w:val="00511A0D"/>
    <w:rsid w:val="005154A6"/>
    <w:rsid w:val="00520C90"/>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315A"/>
    <w:rsid w:val="005C5317"/>
    <w:rsid w:val="005C6984"/>
    <w:rsid w:val="005E131D"/>
    <w:rsid w:val="005E3769"/>
    <w:rsid w:val="005E4798"/>
    <w:rsid w:val="005E48A4"/>
    <w:rsid w:val="005E7C9F"/>
    <w:rsid w:val="005F1120"/>
    <w:rsid w:val="005F2E2C"/>
    <w:rsid w:val="005F6D7A"/>
    <w:rsid w:val="006015AF"/>
    <w:rsid w:val="00604986"/>
    <w:rsid w:val="00605A6D"/>
    <w:rsid w:val="00606947"/>
    <w:rsid w:val="00610735"/>
    <w:rsid w:val="006119A4"/>
    <w:rsid w:val="00612304"/>
    <w:rsid w:val="006124C9"/>
    <w:rsid w:val="00613AE5"/>
    <w:rsid w:val="00615527"/>
    <w:rsid w:val="006165F2"/>
    <w:rsid w:val="00616EED"/>
    <w:rsid w:val="00620F5F"/>
    <w:rsid w:val="006235A1"/>
    <w:rsid w:val="00626F10"/>
    <w:rsid w:val="00633022"/>
    <w:rsid w:val="006333B2"/>
    <w:rsid w:val="00652C9E"/>
    <w:rsid w:val="006615DC"/>
    <w:rsid w:val="00666185"/>
    <w:rsid w:val="00667C00"/>
    <w:rsid w:val="0067437B"/>
    <w:rsid w:val="006761E4"/>
    <w:rsid w:val="00680B2C"/>
    <w:rsid w:val="00685C80"/>
    <w:rsid w:val="0069143B"/>
    <w:rsid w:val="006920B6"/>
    <w:rsid w:val="00694378"/>
    <w:rsid w:val="006A5647"/>
    <w:rsid w:val="006A77AA"/>
    <w:rsid w:val="006A7D23"/>
    <w:rsid w:val="006B0D43"/>
    <w:rsid w:val="006B2735"/>
    <w:rsid w:val="006B3670"/>
    <w:rsid w:val="006B7030"/>
    <w:rsid w:val="006D0B4A"/>
    <w:rsid w:val="006D1AEA"/>
    <w:rsid w:val="006E0CFD"/>
    <w:rsid w:val="006E1F47"/>
    <w:rsid w:val="006E3233"/>
    <w:rsid w:val="00702BC5"/>
    <w:rsid w:val="00707DD9"/>
    <w:rsid w:val="00710677"/>
    <w:rsid w:val="007129EB"/>
    <w:rsid w:val="00715373"/>
    <w:rsid w:val="00721B7C"/>
    <w:rsid w:val="00721BBE"/>
    <w:rsid w:val="0072350D"/>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B3660"/>
    <w:rsid w:val="007C1970"/>
    <w:rsid w:val="007C69E9"/>
    <w:rsid w:val="007D2766"/>
    <w:rsid w:val="007E37A2"/>
    <w:rsid w:val="007E5119"/>
    <w:rsid w:val="008116BF"/>
    <w:rsid w:val="00814337"/>
    <w:rsid w:val="00816CAF"/>
    <w:rsid w:val="00820F9C"/>
    <w:rsid w:val="00824F75"/>
    <w:rsid w:val="00830140"/>
    <w:rsid w:val="008318D7"/>
    <w:rsid w:val="0083406E"/>
    <w:rsid w:val="00840B15"/>
    <w:rsid w:val="00846659"/>
    <w:rsid w:val="008509CF"/>
    <w:rsid w:val="00855835"/>
    <w:rsid w:val="0086474A"/>
    <w:rsid w:val="00866147"/>
    <w:rsid w:val="00870F88"/>
    <w:rsid w:val="0087278F"/>
    <w:rsid w:val="00880949"/>
    <w:rsid w:val="00880D90"/>
    <w:rsid w:val="0088453E"/>
    <w:rsid w:val="00887A41"/>
    <w:rsid w:val="0089306B"/>
    <w:rsid w:val="008A7BFD"/>
    <w:rsid w:val="008B110A"/>
    <w:rsid w:val="008B5946"/>
    <w:rsid w:val="008C1B4A"/>
    <w:rsid w:val="008C2548"/>
    <w:rsid w:val="008D00C2"/>
    <w:rsid w:val="008D2059"/>
    <w:rsid w:val="008D6994"/>
    <w:rsid w:val="008D729E"/>
    <w:rsid w:val="008E5B81"/>
    <w:rsid w:val="008F200B"/>
    <w:rsid w:val="008F622A"/>
    <w:rsid w:val="00900483"/>
    <w:rsid w:val="00900976"/>
    <w:rsid w:val="00914581"/>
    <w:rsid w:val="0092019F"/>
    <w:rsid w:val="00920931"/>
    <w:rsid w:val="009216F0"/>
    <w:rsid w:val="00921766"/>
    <w:rsid w:val="00932318"/>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73E9"/>
    <w:rsid w:val="009E3FDB"/>
    <w:rsid w:val="009F536E"/>
    <w:rsid w:val="00A00107"/>
    <w:rsid w:val="00A00B4F"/>
    <w:rsid w:val="00A040A2"/>
    <w:rsid w:val="00A13093"/>
    <w:rsid w:val="00A1743F"/>
    <w:rsid w:val="00A20D86"/>
    <w:rsid w:val="00A228BF"/>
    <w:rsid w:val="00A22FF3"/>
    <w:rsid w:val="00A35CDC"/>
    <w:rsid w:val="00A4217C"/>
    <w:rsid w:val="00A55230"/>
    <w:rsid w:val="00A555C5"/>
    <w:rsid w:val="00A63F8B"/>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E240A"/>
    <w:rsid w:val="00AF1635"/>
    <w:rsid w:val="00AF4491"/>
    <w:rsid w:val="00B00B28"/>
    <w:rsid w:val="00B012BE"/>
    <w:rsid w:val="00B04FD2"/>
    <w:rsid w:val="00B14EDD"/>
    <w:rsid w:val="00B208ED"/>
    <w:rsid w:val="00B242C8"/>
    <w:rsid w:val="00B25658"/>
    <w:rsid w:val="00B35DDD"/>
    <w:rsid w:val="00B3616F"/>
    <w:rsid w:val="00B41E03"/>
    <w:rsid w:val="00B46517"/>
    <w:rsid w:val="00B650FE"/>
    <w:rsid w:val="00B710B6"/>
    <w:rsid w:val="00B72282"/>
    <w:rsid w:val="00B72CDA"/>
    <w:rsid w:val="00B733E1"/>
    <w:rsid w:val="00B73966"/>
    <w:rsid w:val="00B91E1C"/>
    <w:rsid w:val="00B92B18"/>
    <w:rsid w:val="00B953EB"/>
    <w:rsid w:val="00B978BA"/>
    <w:rsid w:val="00BA062A"/>
    <w:rsid w:val="00BB13B8"/>
    <w:rsid w:val="00BB736A"/>
    <w:rsid w:val="00BC162F"/>
    <w:rsid w:val="00BC3529"/>
    <w:rsid w:val="00BD5144"/>
    <w:rsid w:val="00BD797A"/>
    <w:rsid w:val="00BE0830"/>
    <w:rsid w:val="00BF1C21"/>
    <w:rsid w:val="00C016B0"/>
    <w:rsid w:val="00C05BA3"/>
    <w:rsid w:val="00C10B30"/>
    <w:rsid w:val="00C143FC"/>
    <w:rsid w:val="00C221B6"/>
    <w:rsid w:val="00C22F95"/>
    <w:rsid w:val="00C243BA"/>
    <w:rsid w:val="00C2770A"/>
    <w:rsid w:val="00C41023"/>
    <w:rsid w:val="00C445EB"/>
    <w:rsid w:val="00C46BB7"/>
    <w:rsid w:val="00C51961"/>
    <w:rsid w:val="00C52DA7"/>
    <w:rsid w:val="00C53A7F"/>
    <w:rsid w:val="00C5575E"/>
    <w:rsid w:val="00C61829"/>
    <w:rsid w:val="00C7067B"/>
    <w:rsid w:val="00C71A4B"/>
    <w:rsid w:val="00C74B4B"/>
    <w:rsid w:val="00C76157"/>
    <w:rsid w:val="00C82218"/>
    <w:rsid w:val="00C85F27"/>
    <w:rsid w:val="00C869A9"/>
    <w:rsid w:val="00C87CC5"/>
    <w:rsid w:val="00C90A12"/>
    <w:rsid w:val="00CA540F"/>
    <w:rsid w:val="00CA544B"/>
    <w:rsid w:val="00CA7145"/>
    <w:rsid w:val="00CB1C75"/>
    <w:rsid w:val="00CC213A"/>
    <w:rsid w:val="00CC3664"/>
    <w:rsid w:val="00CC4758"/>
    <w:rsid w:val="00CE121D"/>
    <w:rsid w:val="00CF1418"/>
    <w:rsid w:val="00CF3C7E"/>
    <w:rsid w:val="00D1316F"/>
    <w:rsid w:val="00D15C69"/>
    <w:rsid w:val="00D23BCB"/>
    <w:rsid w:val="00D2771A"/>
    <w:rsid w:val="00D3232F"/>
    <w:rsid w:val="00D413B8"/>
    <w:rsid w:val="00D44082"/>
    <w:rsid w:val="00D4560D"/>
    <w:rsid w:val="00D457E2"/>
    <w:rsid w:val="00D46FF3"/>
    <w:rsid w:val="00D54432"/>
    <w:rsid w:val="00D575DA"/>
    <w:rsid w:val="00D619CB"/>
    <w:rsid w:val="00D62B6C"/>
    <w:rsid w:val="00D66987"/>
    <w:rsid w:val="00D74FA4"/>
    <w:rsid w:val="00D842A0"/>
    <w:rsid w:val="00D87104"/>
    <w:rsid w:val="00D921D3"/>
    <w:rsid w:val="00D9408F"/>
    <w:rsid w:val="00DA7FA9"/>
    <w:rsid w:val="00DB5398"/>
    <w:rsid w:val="00DB5E07"/>
    <w:rsid w:val="00DB6C09"/>
    <w:rsid w:val="00DC1A29"/>
    <w:rsid w:val="00DC1CE7"/>
    <w:rsid w:val="00DC3ACA"/>
    <w:rsid w:val="00DC7B8C"/>
    <w:rsid w:val="00DD441A"/>
    <w:rsid w:val="00DD4A7C"/>
    <w:rsid w:val="00DD50D4"/>
    <w:rsid w:val="00DD601B"/>
    <w:rsid w:val="00DE42B0"/>
    <w:rsid w:val="00DE5320"/>
    <w:rsid w:val="00DF3C79"/>
    <w:rsid w:val="00DF547D"/>
    <w:rsid w:val="00E00675"/>
    <w:rsid w:val="00E00C3A"/>
    <w:rsid w:val="00E01D57"/>
    <w:rsid w:val="00E0302C"/>
    <w:rsid w:val="00E0617C"/>
    <w:rsid w:val="00E1371B"/>
    <w:rsid w:val="00E148FA"/>
    <w:rsid w:val="00E172F5"/>
    <w:rsid w:val="00E23F7F"/>
    <w:rsid w:val="00E3290A"/>
    <w:rsid w:val="00E4280A"/>
    <w:rsid w:val="00E51A96"/>
    <w:rsid w:val="00E52F4E"/>
    <w:rsid w:val="00E537CA"/>
    <w:rsid w:val="00E54F64"/>
    <w:rsid w:val="00E5581E"/>
    <w:rsid w:val="00E562DE"/>
    <w:rsid w:val="00E6349D"/>
    <w:rsid w:val="00E657C3"/>
    <w:rsid w:val="00E7078B"/>
    <w:rsid w:val="00E717C7"/>
    <w:rsid w:val="00E76739"/>
    <w:rsid w:val="00E77FE5"/>
    <w:rsid w:val="00E82753"/>
    <w:rsid w:val="00E86E64"/>
    <w:rsid w:val="00E936B3"/>
    <w:rsid w:val="00EA0C60"/>
    <w:rsid w:val="00EB5332"/>
    <w:rsid w:val="00EB54A6"/>
    <w:rsid w:val="00EC2346"/>
    <w:rsid w:val="00ED12BA"/>
    <w:rsid w:val="00ED20F2"/>
    <w:rsid w:val="00ED2F02"/>
    <w:rsid w:val="00ED7AA9"/>
    <w:rsid w:val="00EE6D6A"/>
    <w:rsid w:val="00EF1548"/>
    <w:rsid w:val="00EF4999"/>
    <w:rsid w:val="00F02478"/>
    <w:rsid w:val="00F03A85"/>
    <w:rsid w:val="00F0658F"/>
    <w:rsid w:val="00F06A75"/>
    <w:rsid w:val="00F119DE"/>
    <w:rsid w:val="00F12DF7"/>
    <w:rsid w:val="00F16036"/>
    <w:rsid w:val="00F32752"/>
    <w:rsid w:val="00F3395C"/>
    <w:rsid w:val="00F40FF9"/>
    <w:rsid w:val="00F435F6"/>
    <w:rsid w:val="00F461F9"/>
    <w:rsid w:val="00F51025"/>
    <w:rsid w:val="00F5183B"/>
    <w:rsid w:val="00F5206B"/>
    <w:rsid w:val="00F566C2"/>
    <w:rsid w:val="00F56F30"/>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15:docId w15:val="{4B1ACF96-1241-4C51-AB37-7318A755E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aciones.gov.py"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ncp.gov.p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0F1B0-0211-4FC1-9E09-D07B171C0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7069</Words>
  <Characters>38882</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Hewlett-Packard Company</cp:lastModifiedBy>
  <cp:revision>12</cp:revision>
  <cp:lastPrinted>2018-05-22T11:09:00Z</cp:lastPrinted>
  <dcterms:created xsi:type="dcterms:W3CDTF">2018-05-23T13:42:00Z</dcterms:created>
  <dcterms:modified xsi:type="dcterms:W3CDTF">2018-06-04T18:51:00Z</dcterms:modified>
</cp:coreProperties>
</file>