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24F3D688" w:rsidR="009A3BD0" w:rsidRPr="00126ECE" w:rsidRDefault="008D4AEC"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FERNANDO DE LA MORA</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0BBD3FF7" w14:textId="77777777" w:rsidR="008D4AEC" w:rsidRPr="00C74B4B" w:rsidRDefault="008D4AEC" w:rsidP="008D4AEC">
      <w:pPr>
        <w:spacing w:after="0" w:line="240" w:lineRule="auto"/>
        <w:jc w:val="center"/>
        <w:rPr>
          <w:rFonts w:ascii="Arial Black" w:hAnsi="Arial Black" w:cs="Arial"/>
          <w:b/>
          <w:sz w:val="52"/>
          <w:szCs w:val="52"/>
        </w:rPr>
      </w:pPr>
    </w:p>
    <w:p w14:paraId="764B9FBF" w14:textId="77777777" w:rsidR="008D4AEC" w:rsidRPr="00C74B4B" w:rsidRDefault="008D4AEC" w:rsidP="008D4AEC">
      <w:pPr>
        <w:spacing w:after="0" w:line="240" w:lineRule="auto"/>
        <w:jc w:val="both"/>
        <w:rPr>
          <w:rFonts w:ascii="Arial Black" w:hAnsi="Arial Black" w:cs="Arial"/>
          <w:b/>
          <w:spacing w:val="60"/>
          <w:sz w:val="52"/>
          <w:szCs w:val="52"/>
          <w:lang w:val="es-MX"/>
        </w:rPr>
      </w:pPr>
    </w:p>
    <w:p w14:paraId="4E3C6B5B" w14:textId="31844F01" w:rsidR="008D4AEC" w:rsidRPr="00126ECE" w:rsidRDefault="008D4AEC" w:rsidP="008D4AEC">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635A73">
        <w:rPr>
          <w:rFonts w:ascii="Arial Black" w:hAnsi="Arial Black" w:cs="Arial"/>
          <w:b/>
          <w:bCs/>
          <w:sz w:val="56"/>
          <w:szCs w:val="52"/>
        </w:rPr>
        <w:t>PUBLICIDAD Y PROPAGANDA</w:t>
      </w:r>
      <w:r w:rsidRPr="00126ECE">
        <w:rPr>
          <w:rFonts w:ascii="Arial Black" w:hAnsi="Arial Black" w:cs="Arial"/>
          <w:b/>
          <w:bCs/>
          <w:sz w:val="56"/>
          <w:szCs w:val="52"/>
        </w:rPr>
        <w:t>”</w:t>
      </w:r>
    </w:p>
    <w:p w14:paraId="7D663AA4" w14:textId="77777777" w:rsidR="009A3BD0" w:rsidRPr="008D4AEC" w:rsidRDefault="009A3BD0" w:rsidP="00C82218">
      <w:pPr>
        <w:spacing w:after="0" w:line="240" w:lineRule="auto"/>
        <w:jc w:val="both"/>
        <w:rPr>
          <w:rFonts w:ascii="Arial Black" w:hAnsi="Arial Black" w:cs="Arial"/>
          <w:b/>
          <w:spacing w:val="60"/>
          <w:sz w:val="52"/>
          <w:szCs w:val="52"/>
        </w:rPr>
      </w:pPr>
    </w:p>
    <w:p w14:paraId="16D02601" w14:textId="77777777" w:rsidR="003D6B6F" w:rsidRDefault="003D6B6F" w:rsidP="00947242">
      <w:pPr>
        <w:spacing w:after="0" w:line="240" w:lineRule="auto"/>
        <w:rPr>
          <w:rFonts w:ascii="Arial" w:hAnsi="Arial" w:cs="Arial"/>
          <w:i/>
          <w:sz w:val="44"/>
          <w:szCs w:val="40"/>
          <w:lang w:val="es-MX"/>
        </w:rPr>
      </w:pPr>
    </w:p>
    <w:p w14:paraId="575A1D2A" w14:textId="77777777" w:rsidR="008D4AEC" w:rsidRPr="00C74B4B" w:rsidRDefault="008D4AEC"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28AD34F8" w14:textId="77777777" w:rsidR="005B65D7" w:rsidRDefault="005B65D7" w:rsidP="00604986">
      <w:pPr>
        <w:spacing w:after="0" w:line="240" w:lineRule="auto"/>
        <w:jc w:val="center"/>
        <w:rPr>
          <w:rFonts w:ascii="Arial" w:hAnsi="Arial" w:cs="Arial"/>
          <w:bCs/>
          <w:sz w:val="24"/>
          <w:szCs w:val="36"/>
          <w:lang w:val="es-MX"/>
        </w:rPr>
      </w:pPr>
    </w:p>
    <w:p w14:paraId="17D5E0BE" w14:textId="77777777" w:rsidR="005B65D7" w:rsidRDefault="005B65D7" w:rsidP="00604986">
      <w:pPr>
        <w:spacing w:after="0" w:line="240" w:lineRule="auto"/>
        <w:jc w:val="center"/>
        <w:rPr>
          <w:rFonts w:ascii="Arial" w:hAnsi="Arial" w:cs="Arial"/>
          <w:bCs/>
          <w:sz w:val="24"/>
          <w:szCs w:val="36"/>
          <w:lang w:val="es-MX"/>
        </w:rPr>
      </w:pPr>
    </w:p>
    <w:p w14:paraId="031B99EA" w14:textId="77777777" w:rsidR="005B65D7" w:rsidRDefault="005B65D7" w:rsidP="00604986">
      <w:pPr>
        <w:spacing w:after="0" w:line="240" w:lineRule="auto"/>
        <w:jc w:val="center"/>
        <w:rPr>
          <w:rFonts w:ascii="Arial" w:hAnsi="Arial" w:cs="Arial"/>
          <w:bCs/>
          <w:sz w:val="24"/>
          <w:szCs w:val="36"/>
          <w:lang w:val="es-MX"/>
        </w:rPr>
      </w:pPr>
    </w:p>
    <w:p w14:paraId="54EC6506" w14:textId="77777777" w:rsidR="005B65D7" w:rsidRDefault="005B65D7" w:rsidP="00604986">
      <w:pPr>
        <w:spacing w:after="0" w:line="240" w:lineRule="auto"/>
        <w:jc w:val="center"/>
        <w:rPr>
          <w:rFonts w:ascii="Arial" w:hAnsi="Arial" w:cs="Arial"/>
          <w:bCs/>
          <w:sz w:val="24"/>
          <w:szCs w:val="36"/>
          <w:lang w:val="es-MX"/>
        </w:rPr>
      </w:pPr>
    </w:p>
    <w:p w14:paraId="0BEC67CF" w14:textId="77777777" w:rsidR="005B65D7" w:rsidRPr="007258B7" w:rsidRDefault="005B65D7" w:rsidP="00604986">
      <w:pPr>
        <w:spacing w:after="0" w:line="240" w:lineRule="auto"/>
        <w:jc w:val="center"/>
        <w:rPr>
          <w:rFonts w:ascii="Arial" w:hAnsi="Arial" w:cs="Arial"/>
          <w:bCs/>
          <w:sz w:val="24"/>
          <w:szCs w:val="36"/>
          <w:lang w:val="es-MX"/>
        </w:rPr>
      </w:pP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395D3EE7" w14:textId="6E3EB238" w:rsidR="00AA3AA2" w:rsidRPr="00257DDA" w:rsidRDefault="00AA3AA2" w:rsidP="00AA3AA2">
      <w:pPr>
        <w:suppressAutoHyphens/>
        <w:spacing w:after="0" w:line="100" w:lineRule="atLeast"/>
        <w:jc w:val="both"/>
        <w:rPr>
          <w:rFonts w:ascii="Arial" w:hAnsi="Arial" w:cs="Arial"/>
          <w:kern w:val="2"/>
        </w:rPr>
      </w:pPr>
      <w:r w:rsidRPr="00C74B4B">
        <w:rPr>
          <w:rFonts w:ascii="Arial" w:hAnsi="Arial" w:cs="Arial"/>
          <w:kern w:val="2"/>
          <w:sz w:val="24"/>
        </w:rPr>
        <w:t xml:space="preserve">Tenemos el agrado de dirigirnos a Ud. con el objeto de invitarlo a participar en el procedimiento de Contratación Directa  N° </w:t>
      </w:r>
      <w:r w:rsidR="00257DDA">
        <w:rPr>
          <w:rFonts w:ascii="Arial" w:hAnsi="Arial" w:cs="Arial"/>
          <w:kern w:val="2"/>
          <w:sz w:val="24"/>
        </w:rPr>
        <w:t xml:space="preserve">n/a </w:t>
      </w:r>
      <w:r w:rsidR="00A040A2" w:rsidRPr="00C74B4B">
        <w:rPr>
          <w:rFonts w:ascii="Arial" w:hAnsi="Arial" w:cs="Arial"/>
          <w:kern w:val="2"/>
          <w:sz w:val="24"/>
        </w:rPr>
        <w:t xml:space="preserve"> con ID N°</w:t>
      </w:r>
      <w:r w:rsidR="00257DDA">
        <w:rPr>
          <w:rFonts w:ascii="Arial" w:hAnsi="Arial" w:cs="Arial"/>
          <w:kern w:val="2"/>
          <w:sz w:val="24"/>
        </w:rPr>
        <w:t xml:space="preserve"> </w:t>
      </w:r>
      <w:r w:rsidR="00635A73">
        <w:rPr>
          <w:rFonts w:ascii="Arial" w:hAnsi="Arial" w:cs="Arial"/>
          <w:kern w:val="2"/>
          <w:sz w:val="24"/>
        </w:rPr>
        <w:t>351.261</w:t>
      </w:r>
      <w:r w:rsidRPr="00C74B4B">
        <w:rPr>
          <w:rFonts w:ascii="Arial" w:hAnsi="Arial" w:cs="Arial"/>
          <w:kern w:val="2"/>
          <w:sz w:val="24"/>
        </w:rPr>
        <w:t xml:space="preserve"> para la adquisición de </w:t>
      </w:r>
      <w:r w:rsidR="005B65D7">
        <w:rPr>
          <w:rFonts w:ascii="Arial Black" w:hAnsi="Arial Black" w:cs="Arial"/>
          <w:b/>
          <w:bCs/>
        </w:rPr>
        <w:t xml:space="preserve"> PUBLICIDAD</w:t>
      </w:r>
      <w:r w:rsidR="00635A73">
        <w:rPr>
          <w:rFonts w:ascii="Arial Black" w:hAnsi="Arial Black" w:cs="Arial"/>
          <w:b/>
          <w:bCs/>
        </w:rPr>
        <w:t xml:space="preserve"> Y PROPAGANDA</w:t>
      </w:r>
    </w:p>
    <w:p w14:paraId="0B6FA338" w14:textId="77777777" w:rsidR="00257DDA" w:rsidRPr="00C74B4B" w:rsidRDefault="00257DDA"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28AA73DA" w:rsidR="00AA3AA2" w:rsidRPr="00C74B4B" w:rsidRDefault="00257DDA" w:rsidP="00AA3AA2">
      <w:pPr>
        <w:suppressAutoHyphens/>
        <w:spacing w:after="0" w:line="100" w:lineRule="atLeast"/>
        <w:ind w:left="720"/>
        <w:rPr>
          <w:rFonts w:ascii="Arial" w:hAnsi="Arial" w:cs="Arial"/>
          <w:i/>
          <w:color w:val="FF0000"/>
          <w:kern w:val="2"/>
          <w:sz w:val="24"/>
        </w:rPr>
      </w:pPr>
      <w:r>
        <w:rPr>
          <w:rFonts w:ascii="Arial" w:hAnsi="Arial" w:cs="Arial"/>
          <w:i/>
          <w:color w:val="FF0000"/>
          <w:kern w:val="2"/>
          <w:sz w:val="24"/>
        </w:rPr>
        <w:t xml:space="preserve"> </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669BBFE9" w14:textId="77777777" w:rsidR="00257DDA" w:rsidRDefault="00257DDA" w:rsidP="00257DDA">
      <w:pPr>
        <w:suppressAutoHyphens/>
        <w:spacing w:after="0" w:line="100" w:lineRule="atLeast"/>
        <w:jc w:val="both"/>
        <w:rPr>
          <w:rFonts w:ascii="Arial" w:hAnsi="Arial" w:cs="Arial"/>
          <w:kern w:val="2"/>
          <w:sz w:val="24"/>
        </w:rPr>
      </w:pPr>
    </w:p>
    <w:p w14:paraId="001E2FA8"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Lic. Eligio Acosta</w:t>
      </w:r>
    </w:p>
    <w:p w14:paraId="2116E3A0"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Director de UOC</w:t>
      </w:r>
    </w:p>
    <w:p w14:paraId="06272F52" w14:textId="77777777" w:rsidR="00257DDA" w:rsidRPr="00C74B4B" w:rsidRDefault="00257DDA" w:rsidP="00257DDA">
      <w:pPr>
        <w:suppressAutoHyphens/>
        <w:spacing w:after="0" w:line="100" w:lineRule="atLeast"/>
        <w:ind w:left="720"/>
        <w:jc w:val="both"/>
        <w:rPr>
          <w:rFonts w:ascii="Arial" w:hAnsi="Arial" w:cs="Arial"/>
          <w:kern w:val="2"/>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53945C90" w14:textId="77777777" w:rsidR="00885B06" w:rsidRDefault="00885B06" w:rsidP="007A270F">
      <w:pPr>
        <w:spacing w:after="0" w:line="240" w:lineRule="auto"/>
        <w:rPr>
          <w:rFonts w:ascii="Arial" w:hAnsi="Arial" w:cs="Arial"/>
          <w:b/>
          <w:sz w:val="44"/>
          <w:szCs w:val="40"/>
          <w:lang w:val="es-ES"/>
        </w:rPr>
      </w:pPr>
    </w:p>
    <w:p w14:paraId="7DAFF0A0" w14:textId="77777777" w:rsidR="00885B06" w:rsidRPr="00C74B4B" w:rsidRDefault="00885B06"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07A2B56A" w14:textId="77777777" w:rsidR="004673B0" w:rsidRPr="00C74B4B" w:rsidRDefault="004673B0"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0A6BFED6"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4673B0">
        <w:rPr>
          <w:rFonts w:ascii="Arial" w:hAnsi="Arial" w:cs="Arial"/>
          <w:b/>
        </w:rPr>
        <w:t xml:space="preserve"> no aplica</w:t>
      </w:r>
    </w:p>
    <w:p w14:paraId="6EB12D44" w14:textId="7824A4D8" w:rsidR="007C69E9" w:rsidRPr="00213C2F"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4673B0">
        <w:rPr>
          <w:rFonts w:ascii="Arial" w:hAnsi="Arial" w:cs="Arial"/>
          <w:b/>
        </w:rPr>
        <w:t>no aplica</w:t>
      </w:r>
    </w:p>
    <w:p w14:paraId="68DF935D" w14:textId="6AFDF9FF"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w:t>
      </w:r>
      <w:r w:rsidR="004673B0">
        <w:rPr>
          <w:rFonts w:ascii="Arial" w:hAnsi="Arial" w:cs="Arial"/>
        </w:rPr>
        <w:t xml:space="preserve">e funcionamiento de los Bienes: </w:t>
      </w:r>
      <w:r w:rsidR="004673B0" w:rsidRPr="004673B0">
        <w:rPr>
          <w:rFonts w:ascii="Arial" w:hAnsi="Arial" w:cs="Arial"/>
          <w:b/>
        </w:rPr>
        <w:t>no aplica</w:t>
      </w:r>
    </w:p>
    <w:p w14:paraId="6425448E" w14:textId="6734FD51" w:rsidR="004E69A3" w:rsidRPr="004673B0"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Autorización del Fabricante</w:t>
      </w:r>
      <w:r w:rsidR="004673B0">
        <w:rPr>
          <w:rFonts w:ascii="Arial" w:hAnsi="Arial" w:cs="Arial"/>
        </w:rPr>
        <w:t xml:space="preserve">, Representante o Distribuidor: </w:t>
      </w:r>
      <w:r w:rsidR="004673B0" w:rsidRPr="004673B0">
        <w:rPr>
          <w:rFonts w:ascii="Arial" w:hAnsi="Arial" w:cs="Arial"/>
          <w:b/>
        </w:rPr>
        <w:t>no se requiere</w:t>
      </w:r>
    </w:p>
    <w:p w14:paraId="5399E793" w14:textId="709BD60A"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Plazo de validez de las ofertas, contado desde la fecha y hora lím</w:t>
      </w:r>
      <w:r w:rsidR="004673B0">
        <w:rPr>
          <w:rFonts w:ascii="Arial" w:hAnsi="Arial" w:cs="Arial"/>
        </w:rPr>
        <w:t>ite de presentación de ofertas: 30 días</w:t>
      </w:r>
      <w:r w:rsidR="000C19BC">
        <w:rPr>
          <w:rFonts w:ascii="Arial" w:hAnsi="Arial" w:cs="Arial"/>
        </w:rPr>
        <w:t xml:space="preserve"> corrido</w:t>
      </w:r>
      <w:r w:rsidR="004673B0">
        <w:rPr>
          <w:rFonts w:ascii="Arial" w:hAnsi="Arial" w:cs="Arial"/>
        </w:rPr>
        <w:t xml:space="preserve"> (treinta)</w:t>
      </w:r>
      <w:r w:rsidRPr="00AD2AE5">
        <w:rPr>
          <w:rFonts w:ascii="Arial" w:hAnsi="Arial" w:cs="Arial"/>
          <w:i/>
        </w:rPr>
        <w:t xml:space="preserve"> </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520C096E" w:rsidR="0018343B" w:rsidRPr="00AD2AE5"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000C19BC">
        <w:rPr>
          <w:rFonts w:ascii="Arial" w:hAnsi="Arial" w:cs="Arial"/>
        </w:rPr>
        <w:t xml:space="preserve"> deberá ser: 60 días corrido (sesenta)</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lastRenderedPageBreak/>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14:paraId="17F5621C" w14:textId="77777777" w:rsidR="006A77AA"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14:paraId="56892520" w14:textId="77777777" w:rsidR="000C19BC" w:rsidRPr="007A60C9" w:rsidRDefault="000C19BC" w:rsidP="00830140">
      <w:pPr>
        <w:spacing w:before="120" w:line="360" w:lineRule="auto"/>
        <w:jc w:val="both"/>
        <w:rPr>
          <w:rFonts w:ascii="Arial" w:hAnsi="Arial" w:cs="Arial"/>
        </w:rPr>
      </w:pP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6662115E"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r w:rsidR="000C19BC">
        <w:rPr>
          <w:rFonts w:ascii="Arial" w:hAnsi="Arial" w:cs="Arial"/>
          <w:b/>
        </w:rPr>
        <w:t>no aplica</w:t>
      </w:r>
    </w:p>
    <w:p w14:paraId="3E1D7723" w14:textId="5B412DB2"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r w:rsidR="000C19BC">
        <w:rPr>
          <w:rFonts w:ascii="Arial" w:hAnsi="Arial" w:cs="Arial"/>
          <w:b/>
        </w:rPr>
        <w:t xml:space="preserve"> no aplica</w:t>
      </w:r>
    </w:p>
    <w:p w14:paraId="6EE64465" w14:textId="77777777" w:rsidR="004B187B" w:rsidRPr="000C19BC" w:rsidRDefault="004B187B" w:rsidP="000C19BC">
      <w:pPr>
        <w:spacing w:after="0" w:line="360" w:lineRule="auto"/>
        <w:jc w:val="both"/>
        <w:rPr>
          <w:rFonts w:ascii="Arial" w:hAnsi="Arial" w:cs="Arial"/>
          <w:i/>
        </w:rPr>
      </w:pPr>
    </w:p>
    <w:p w14:paraId="12DAC0DE" w14:textId="5D33C43F" w:rsidR="004E69A3"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27EFED1C" w14:textId="4F910110" w:rsidR="000C19BC" w:rsidRPr="000C19BC" w:rsidRDefault="000C19BC" w:rsidP="000C19BC">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w:t>
      </w:r>
      <w:r w:rsidR="00885B06">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201</w:t>
      </w:r>
      <w:r w:rsidR="00885B06">
        <w:rPr>
          <w:rFonts w:ascii="Times New Roman" w:hAnsi="Times New Roman" w:cs="Times New Roman"/>
          <w:i/>
          <w:iCs/>
          <w:color w:val="000000"/>
          <w:sz w:val="23"/>
          <w:szCs w:val="23"/>
          <w:lang w:val="es-PA"/>
        </w:rPr>
        <w:t>6</w:t>
      </w:r>
      <w:r w:rsidRPr="00DE77B9">
        <w:rPr>
          <w:rFonts w:ascii="Times New Roman" w:hAnsi="Times New Roman" w:cs="Times New Roman"/>
          <w:i/>
          <w:iCs/>
          <w:color w:val="000000"/>
          <w:sz w:val="23"/>
          <w:szCs w:val="23"/>
          <w:lang w:val="es-PA"/>
        </w:rPr>
        <w:t xml:space="preserve"> y 201</w:t>
      </w:r>
      <w:r w:rsidR="00885B06">
        <w:rPr>
          <w:rFonts w:ascii="Times New Roman" w:hAnsi="Times New Roman" w:cs="Times New Roman"/>
          <w:i/>
          <w:iCs/>
          <w:color w:val="000000"/>
          <w:sz w:val="23"/>
          <w:szCs w:val="23"/>
          <w:lang w:val="es-PA"/>
        </w:rPr>
        <w:t>7</w:t>
      </w:r>
      <w:r>
        <w:rPr>
          <w:rFonts w:ascii="Times New Roman" w:hAnsi="Times New Roman" w:cs="Times New Roman"/>
          <w:i/>
          <w:iCs/>
          <w:color w:val="000000"/>
          <w:sz w:val="23"/>
          <w:szCs w:val="23"/>
          <w:lang w:val="es-PA"/>
        </w:rPr>
        <w:t xml:space="preserve"> q</w:t>
      </w:r>
      <w:r w:rsidR="00635A73">
        <w:rPr>
          <w:rFonts w:ascii="Times New Roman" w:hAnsi="Times New Roman" w:cs="Times New Roman"/>
          <w:i/>
          <w:iCs/>
          <w:color w:val="000000"/>
          <w:sz w:val="23"/>
          <w:szCs w:val="23"/>
          <w:lang w:val="es-PA"/>
        </w:rPr>
        <w:t>ue demuestren LA  PUBLICIDAD Y PROPAGANDA</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65EBAA92" w14:textId="77777777" w:rsidR="001F62A3" w:rsidRPr="00AD2AE5" w:rsidRDefault="001F62A3" w:rsidP="00830140">
      <w:pPr>
        <w:pStyle w:val="Prrafodelista"/>
        <w:spacing w:after="0" w:line="360" w:lineRule="auto"/>
        <w:ind w:left="993"/>
        <w:jc w:val="both"/>
        <w:rPr>
          <w:rFonts w:ascii="Arial" w:hAnsi="Arial" w:cs="Arial"/>
          <w:i/>
        </w:rPr>
      </w:pP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042C292E"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0C19BC">
        <w:rPr>
          <w:rFonts w:ascii="Arial" w:hAnsi="Arial" w:cs="Arial"/>
        </w:rPr>
        <w:t xml:space="preserve">u presentación un plazo de 24 </w:t>
      </w:r>
      <w:proofErr w:type="spellStart"/>
      <w:r w:rsidR="000C19BC">
        <w:rPr>
          <w:rFonts w:ascii="Arial" w:hAnsi="Arial" w:cs="Arial"/>
        </w:rPr>
        <w:t>hs</w:t>
      </w:r>
      <w:proofErr w:type="spellEnd"/>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Default="00C5575E" w:rsidP="00830140">
      <w:pPr>
        <w:pStyle w:val="Prrafodelista"/>
        <w:spacing w:before="240" w:after="240" w:line="360" w:lineRule="auto"/>
        <w:jc w:val="both"/>
        <w:rPr>
          <w:rFonts w:ascii="Arial" w:hAnsi="Arial" w:cs="Arial"/>
        </w:rPr>
      </w:pPr>
    </w:p>
    <w:p w14:paraId="7813665B" w14:textId="77777777" w:rsidR="00885B06" w:rsidRDefault="00885B06" w:rsidP="00830140">
      <w:pPr>
        <w:pStyle w:val="Prrafodelista"/>
        <w:spacing w:before="240" w:after="240" w:line="360" w:lineRule="auto"/>
        <w:jc w:val="both"/>
        <w:rPr>
          <w:rFonts w:ascii="Arial" w:hAnsi="Arial" w:cs="Arial"/>
        </w:rPr>
      </w:pPr>
    </w:p>
    <w:p w14:paraId="1B4AAF04" w14:textId="77777777" w:rsidR="00885B06" w:rsidRDefault="00885B06" w:rsidP="00830140">
      <w:pPr>
        <w:pStyle w:val="Prrafodelista"/>
        <w:spacing w:before="240" w:after="240" w:line="360" w:lineRule="auto"/>
        <w:jc w:val="both"/>
        <w:rPr>
          <w:rFonts w:ascii="Arial" w:hAnsi="Arial" w:cs="Arial"/>
        </w:rPr>
      </w:pPr>
    </w:p>
    <w:p w14:paraId="1B28ECF8" w14:textId="77777777" w:rsidR="00885B06" w:rsidRDefault="00885B06" w:rsidP="00830140">
      <w:pPr>
        <w:pStyle w:val="Prrafodelista"/>
        <w:spacing w:before="240" w:after="240" w:line="360" w:lineRule="auto"/>
        <w:jc w:val="both"/>
        <w:rPr>
          <w:rFonts w:ascii="Arial" w:hAnsi="Arial" w:cs="Arial"/>
        </w:rPr>
      </w:pPr>
    </w:p>
    <w:p w14:paraId="0C17A8A2" w14:textId="77777777" w:rsidR="00885B06" w:rsidRPr="00AD2AE5" w:rsidRDefault="00885B06" w:rsidP="00830140">
      <w:pPr>
        <w:pStyle w:val="Prrafodelista"/>
        <w:spacing w:before="240" w:after="240" w:line="360" w:lineRule="auto"/>
        <w:jc w:val="both"/>
        <w:rPr>
          <w:rFonts w:ascii="Arial" w:hAnsi="Arial" w:cs="Arial"/>
        </w:rPr>
      </w:pPr>
    </w:p>
    <w:p w14:paraId="47F39620" w14:textId="097D82FD" w:rsidR="000C19BC" w:rsidRPr="00885B06" w:rsidRDefault="004E69A3" w:rsidP="000C19BC">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lastRenderedPageBreak/>
        <w:t xml:space="preserve">Criterio de evaluación y calificación de las muestras: </w:t>
      </w:r>
      <w:r w:rsidR="000C19BC" w:rsidRPr="000C19BC">
        <w:rPr>
          <w:rFonts w:ascii="Arial" w:hAnsi="Arial" w:cs="Arial"/>
          <w:b/>
        </w:rPr>
        <w:t>no aplica</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3A5A2169" w:rsidR="001D7681" w:rsidRPr="000C19BC" w:rsidRDefault="004E69A3" w:rsidP="000C19BC">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w:t>
      </w:r>
      <w:r w:rsidR="000C19BC" w:rsidRPr="00197E67">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r w:rsidRPr="000C19BC">
        <w:rPr>
          <w:rFonts w:ascii="Arial" w:hAnsi="Arial" w:cs="Arial"/>
        </w:rPr>
        <w:t>.</w:t>
      </w:r>
    </w:p>
    <w:p w14:paraId="54C8A1F4" w14:textId="0BF7B772" w:rsidR="003C0B8F" w:rsidRPr="00AD2AE5"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0C19BC">
        <w:rPr>
          <w:rFonts w:ascii="Arial" w:hAnsi="Arial" w:cs="Arial"/>
        </w:rPr>
        <w:t xml:space="preserve"> contrato</w:t>
      </w:r>
      <w:r w:rsidRPr="00AD2AE5">
        <w:rPr>
          <w:rFonts w:ascii="Arial" w:hAnsi="Arial" w:cs="Arial"/>
          <w:i/>
          <w:color w:val="FF0000"/>
        </w:rPr>
        <w:t>.</w:t>
      </w:r>
    </w:p>
    <w:p w14:paraId="2FF9E6CE" w14:textId="30256235" w:rsidR="003C0B8F" w:rsidRPr="000C19BC" w:rsidRDefault="003C0B8F"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46BD0E1C"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w:t>
      </w:r>
      <w:r w:rsidRPr="001761A2">
        <w:rPr>
          <w:rFonts w:ascii="Arial" w:hAnsi="Arial" w:cs="Arial"/>
          <w:i/>
          <w:sz w:val="20"/>
        </w:rPr>
        <w:lastRenderedPageBreak/>
        <w:t>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5DD32023" w14:textId="77777777" w:rsidR="000C19BC" w:rsidRPr="001761A2" w:rsidRDefault="000C19BC" w:rsidP="000C19BC">
      <w:pPr>
        <w:tabs>
          <w:tab w:val="left" w:pos="2535"/>
        </w:tabs>
        <w:spacing w:before="240" w:after="240" w:line="240" w:lineRule="auto"/>
        <w:jc w:val="both"/>
        <w:rPr>
          <w:rFonts w:ascii="Arial" w:hAnsi="Arial" w:cs="Arial"/>
          <w:i/>
          <w:sz w:val="20"/>
        </w:rPr>
      </w:pPr>
      <w:r>
        <w:rPr>
          <w:rFonts w:ascii="Arial" w:hAnsi="Arial" w:cs="Arial"/>
          <w:i/>
          <w:sz w:val="20"/>
        </w:rPr>
        <w:tab/>
      </w:r>
    </w:p>
    <w:p w14:paraId="0784C20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0B1320F7"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77E4689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IPC0 </w:t>
      </w:r>
    </w:p>
    <w:p w14:paraId="108D3FED"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DONDE: </w:t>
      </w:r>
    </w:p>
    <w:p w14:paraId="15DA1D4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6BA1C66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3845D55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6A16DFD8"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0A964EDE"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435C559E"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484D665D"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5C5CE110"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233168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Apertura de Oferta</w:t>
      </w:r>
    </w:p>
    <w:p w14:paraId="2CF317B9" w14:textId="77777777" w:rsidR="000C19BC" w:rsidRPr="00A76134" w:rsidRDefault="000C19BC" w:rsidP="000C19BC">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2B820C50" w14:textId="77777777" w:rsidR="000C19BC" w:rsidRPr="000C19BC" w:rsidRDefault="000C19BC" w:rsidP="000C19BC">
      <w:pPr>
        <w:tabs>
          <w:tab w:val="left" w:pos="851"/>
        </w:tabs>
        <w:spacing w:before="240" w:after="240" w:line="360" w:lineRule="auto"/>
        <w:jc w:val="both"/>
        <w:rPr>
          <w:rFonts w:ascii="Arial" w:hAnsi="Arial" w:cs="Arial"/>
          <w:i/>
          <w:color w:val="FF0000"/>
        </w:rPr>
      </w:pPr>
    </w:p>
    <w:p w14:paraId="40D5DF47" w14:textId="44FC35BC" w:rsidR="00A13093" w:rsidRPr="00A13093" w:rsidRDefault="00A13093"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396CEA">
        <w:rPr>
          <w:rFonts w:ascii="Arial" w:hAnsi="Arial" w:cs="Arial"/>
          <w:spacing w:val="-3"/>
          <w:lang w:val="es-ES_tradnl"/>
        </w:rPr>
        <w:t>no</w:t>
      </w:r>
      <w:r w:rsidRPr="00B92BB6">
        <w:rPr>
          <w:rFonts w:ascii="Arial" w:hAnsi="Arial" w:cs="Arial"/>
          <w:bCs/>
          <w:i/>
          <w:iCs/>
        </w:rPr>
        <w:t xml:space="preserve">  </w:t>
      </w:r>
    </w:p>
    <w:p w14:paraId="21184C86" w14:textId="0046FB21"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396CEA">
        <w:rPr>
          <w:rFonts w:ascii="Arial" w:hAnsi="Arial" w:cs="Arial"/>
        </w:rPr>
        <w:t xml:space="preserve"> </w:t>
      </w:r>
      <w:r w:rsidR="00396CEA" w:rsidRPr="00197E67">
        <w:rPr>
          <w:rFonts w:ascii="Arial" w:hAnsi="Arial" w:cs="Arial"/>
          <w:color w:val="000000"/>
          <w:sz w:val="20"/>
          <w:szCs w:val="20"/>
        </w:rPr>
        <w:t xml:space="preserve">El pago será realizado a plazo  dentro de los   ocho días con la presentación de la factura correspondiente, nota de remisión, certificado de cumplimiento tributario vigente, copia de última declaración de  </w:t>
      </w:r>
      <w:proofErr w:type="spellStart"/>
      <w:r w:rsidR="00396CEA" w:rsidRPr="00197E67">
        <w:rPr>
          <w:rFonts w:ascii="Arial" w:hAnsi="Arial" w:cs="Arial"/>
          <w:color w:val="000000"/>
          <w:sz w:val="20"/>
          <w:szCs w:val="20"/>
        </w:rPr>
        <w:t>de</w:t>
      </w:r>
      <w:proofErr w:type="spellEnd"/>
      <w:r w:rsidR="00396CEA" w:rsidRPr="00197E67">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011B882B"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Pr="00AD2AE5">
        <w:rPr>
          <w:rFonts w:ascii="Arial" w:hAnsi="Arial" w:cs="Arial"/>
          <w:i/>
          <w:color w:val="FF0000"/>
        </w:rPr>
        <w:t>[</w:t>
      </w:r>
      <w:proofErr w:type="gramStart"/>
      <w:r w:rsidR="00396CEA">
        <w:rPr>
          <w:rFonts w:ascii="Arial" w:hAnsi="Arial" w:cs="Arial"/>
          <w:b/>
        </w:rPr>
        <w:t>0,01</w:t>
      </w:r>
      <w:r w:rsidR="00396CEA" w:rsidRPr="00C74B4B">
        <w:rPr>
          <w:rFonts w:ascii="Arial" w:hAnsi="Arial" w:cs="Arial"/>
          <w:i/>
          <w:color w:val="FF0000"/>
        </w:rPr>
        <w:t> </w:t>
      </w:r>
      <w:r w:rsidRPr="00AD2AE5">
        <w:rPr>
          <w:rFonts w:ascii="Arial" w:hAnsi="Arial" w:cs="Arial"/>
          <w:i/>
          <w:color w:val="FF0000"/>
        </w:rPr>
        <w:t>]</w:t>
      </w:r>
      <w:proofErr w:type="gramEnd"/>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00227BD7" w:rsidR="003C0B8F" w:rsidRPr="00396CEA" w:rsidRDefault="003C0B8F" w:rsidP="00396CEA">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396CEA">
        <w:rPr>
          <w:rFonts w:ascii="Arial" w:hAnsi="Arial" w:cs="Arial"/>
        </w:rPr>
        <w:t xml:space="preserve"> no</w:t>
      </w:r>
    </w:p>
    <w:p w14:paraId="115EDEF9" w14:textId="02B2B9DE" w:rsidR="003C0B8F" w:rsidRPr="00213C2F" w:rsidRDefault="003C0B8F"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396CEA">
        <w:rPr>
          <w:rFonts w:ascii="Arial" w:hAnsi="Arial" w:cs="Arial"/>
        </w:rPr>
        <w:t xml:space="preserve"> 5%  del valor total de contrato</w:t>
      </w:r>
      <w:r w:rsidRPr="00AD2AE5">
        <w:rPr>
          <w:rFonts w:ascii="Arial" w:hAnsi="Arial" w:cs="Arial"/>
          <w:i/>
          <w:color w:val="FF0000"/>
        </w:rPr>
        <w:t>.</w:t>
      </w:r>
      <w:r w:rsidR="00446BEE">
        <w:rPr>
          <w:rFonts w:ascii="Arial" w:hAnsi="Arial" w:cs="Arial"/>
          <w:i/>
          <w:color w:val="FF0000"/>
        </w:rPr>
        <w:t xml:space="preserve"> </w:t>
      </w:r>
    </w:p>
    <w:p w14:paraId="73A88D7F" w14:textId="77777777" w:rsidR="00446BEE" w:rsidRPr="00213C2F" w:rsidRDefault="00446BEE" w:rsidP="00213C2F">
      <w:pPr>
        <w:spacing w:before="240" w:after="240" w:line="360" w:lineRule="auto"/>
        <w:jc w:val="both"/>
        <w:rPr>
          <w:rFonts w:ascii="Arial" w:hAnsi="Arial" w:cs="Arial"/>
          <w:color w:val="FF0000"/>
        </w:rPr>
      </w:pPr>
    </w:p>
    <w:p w14:paraId="7F9CAD00" w14:textId="27ECA0DE"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w:t>
      </w:r>
      <w:r w:rsidR="00396CEA">
        <w:rPr>
          <w:rFonts w:ascii="Arial" w:hAnsi="Arial" w:cs="Arial"/>
        </w:rPr>
        <w:t xml:space="preserve"> SI </w:t>
      </w:r>
      <w:r w:rsidR="00AB1679" w:rsidRPr="00AD2AE5">
        <w:rPr>
          <w:rFonts w:ascii="Arial" w:hAnsi="Arial" w:cs="Arial"/>
        </w:rPr>
        <w:t xml:space="preserve"> </w:t>
      </w:r>
    </w:p>
    <w:p w14:paraId="38A5E232" w14:textId="53ACD177"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lastRenderedPageBreak/>
        <w:t>La liberación de la Garantía de Cumplimiento tendrá lugar</w:t>
      </w:r>
      <w:r w:rsidR="00C74B4B" w:rsidRPr="00AD2AE5">
        <w:rPr>
          <w:rFonts w:ascii="Arial" w:hAnsi="Arial" w:cs="Arial"/>
        </w:rPr>
        <w:t xml:space="preserve">: </w:t>
      </w:r>
      <w:r w:rsidR="00396CEA" w:rsidRPr="00844ED7">
        <w:rPr>
          <w:rFonts w:cs="Arial"/>
          <w:sz w:val="20"/>
          <w:szCs w:val="20"/>
        </w:rPr>
        <w:t xml:space="preserve">a más tardar 28 (Veintiocho) días posteriores contados a partir de la fecha de la Recepción Definitiva de los </w:t>
      </w:r>
      <w:proofErr w:type="gramStart"/>
      <w:r w:rsidR="00396CEA" w:rsidRPr="00844ED7">
        <w:rPr>
          <w:rFonts w:cs="Arial"/>
          <w:sz w:val="20"/>
          <w:szCs w:val="20"/>
        </w:rPr>
        <w:t>bienes</w:t>
      </w:r>
      <w:r w:rsidR="00396CEA" w:rsidRPr="00AD2AE5">
        <w:rPr>
          <w:rFonts w:ascii="Arial" w:hAnsi="Arial" w:cs="Arial"/>
          <w:i/>
          <w:color w:val="FF0000"/>
        </w:rPr>
        <w:t xml:space="preserve"> </w:t>
      </w:r>
      <w:r w:rsidR="00DD601B" w:rsidRPr="00AD2AE5">
        <w:rPr>
          <w:rFonts w:ascii="Arial" w:hAnsi="Arial" w:cs="Arial"/>
          <w:i/>
          <w:color w:val="FF0000"/>
          <w:szCs w:val="20"/>
        </w:rPr>
        <w:t>.</w:t>
      </w:r>
      <w:proofErr w:type="gramEnd"/>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 xml:space="preserve">.7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w:t>
      </w:r>
      <w:r w:rsidR="001E29FA" w:rsidRPr="00AD2AE5">
        <w:rPr>
          <w:sz w:val="22"/>
          <w:szCs w:val="20"/>
        </w:rPr>
        <w:lastRenderedPageBreak/>
        <w:t>no lo hiciera, se considerará incumplimiento del contrato por causa imputable al proveedor o contratista</w:t>
      </w:r>
      <w:r w:rsidR="001E29FA" w:rsidRPr="00AD2AE5">
        <w:rPr>
          <w:szCs w:val="22"/>
        </w:rPr>
        <w:t>.</w:t>
      </w:r>
    </w:p>
    <w:p w14:paraId="0437FD75" w14:textId="6F9F4AAF"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396CEA">
        <w:rPr>
          <w:rFonts w:ascii="Arial" w:hAnsi="Arial" w:cs="Arial"/>
        </w:rPr>
        <w:t xml:space="preserve">ES LA MUNICIPALIDAD DE FERNANDO DE LA MORA, DIRECCION DE </w:t>
      </w:r>
      <w:r w:rsidR="005B65D7">
        <w:rPr>
          <w:rFonts w:ascii="Arial" w:hAnsi="Arial" w:cs="Arial"/>
        </w:rPr>
        <w:t>PRENSA</w:t>
      </w:r>
      <w:r w:rsidR="00396CEA">
        <w:rPr>
          <w:rFonts w:ascii="Arial" w:hAnsi="Arial" w:cs="Arial"/>
        </w:rPr>
        <w:t xml:space="preserve">  DESDE LAS 07:00 HS. A 13:30 DE LUNES A VIERNES.</w:t>
      </w:r>
    </w:p>
    <w:p w14:paraId="6BB598EE" w14:textId="496646FD"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396CEA">
        <w:rPr>
          <w:rFonts w:ascii="Arial" w:hAnsi="Arial" w:cs="Arial"/>
        </w:rPr>
        <w:t>1</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77313C05"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w:t>
      </w:r>
      <w:r w:rsidR="00635A73">
        <w:rPr>
          <w:rFonts w:ascii="Arial" w:hAnsi="Arial" w:cs="Arial"/>
        </w:rPr>
        <w:t>ia de este Contrato es hasta el 31 DE DICIEMBRE 2018</w:t>
      </w:r>
      <w:r w:rsidRPr="006A5647">
        <w:rPr>
          <w:rFonts w:ascii="Arial" w:hAnsi="Arial" w:cs="Arial"/>
        </w:rPr>
        <w:t>.</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2F16C82D" w14:textId="77777777" w:rsidR="00885B06" w:rsidRDefault="00885B06" w:rsidP="00C82218">
      <w:pPr>
        <w:spacing w:after="0" w:line="240" w:lineRule="auto"/>
        <w:jc w:val="center"/>
        <w:rPr>
          <w:rFonts w:ascii="Arial" w:eastAsia="Times New Roman" w:hAnsi="Arial" w:cs="Arial"/>
          <w:sz w:val="44"/>
          <w:szCs w:val="20"/>
          <w:lang w:val="es-ES"/>
        </w:rPr>
      </w:pPr>
    </w:p>
    <w:p w14:paraId="180A3CE5" w14:textId="77777777" w:rsidR="00885B06" w:rsidRDefault="00885B06" w:rsidP="00C82218">
      <w:pPr>
        <w:spacing w:after="0" w:line="240" w:lineRule="auto"/>
        <w:jc w:val="center"/>
        <w:rPr>
          <w:rFonts w:ascii="Arial" w:eastAsia="Times New Roman" w:hAnsi="Arial" w:cs="Arial"/>
          <w:sz w:val="44"/>
          <w:szCs w:val="20"/>
          <w:lang w:val="es-ES"/>
        </w:rPr>
      </w:pPr>
    </w:p>
    <w:p w14:paraId="5BCEC8CC" w14:textId="77777777" w:rsidR="00885B06" w:rsidRDefault="00885B06" w:rsidP="00C82218">
      <w:pPr>
        <w:spacing w:after="0" w:line="240" w:lineRule="auto"/>
        <w:jc w:val="center"/>
        <w:rPr>
          <w:rFonts w:ascii="Arial" w:eastAsia="Times New Roman" w:hAnsi="Arial" w:cs="Arial"/>
          <w:sz w:val="44"/>
          <w:szCs w:val="20"/>
          <w:lang w:val="es-ES"/>
        </w:rPr>
      </w:pPr>
    </w:p>
    <w:p w14:paraId="26FA2F60" w14:textId="77777777" w:rsidR="00885B06" w:rsidRDefault="00885B06" w:rsidP="00C82218">
      <w:pPr>
        <w:spacing w:after="0" w:line="240" w:lineRule="auto"/>
        <w:jc w:val="center"/>
        <w:rPr>
          <w:rFonts w:ascii="Arial" w:eastAsia="Times New Roman" w:hAnsi="Arial" w:cs="Arial"/>
          <w:sz w:val="44"/>
          <w:szCs w:val="20"/>
          <w:lang w:val="es-ES"/>
        </w:rPr>
      </w:pPr>
    </w:p>
    <w:p w14:paraId="66F8339D" w14:textId="77777777" w:rsidR="00885B06" w:rsidRDefault="00885B06" w:rsidP="00C82218">
      <w:pPr>
        <w:spacing w:after="0" w:line="240" w:lineRule="auto"/>
        <w:jc w:val="center"/>
        <w:rPr>
          <w:rFonts w:ascii="Arial" w:eastAsia="Times New Roman" w:hAnsi="Arial" w:cs="Arial"/>
          <w:sz w:val="44"/>
          <w:szCs w:val="20"/>
          <w:lang w:val="es-ES"/>
        </w:rPr>
      </w:pPr>
    </w:p>
    <w:p w14:paraId="5A9A0551" w14:textId="77777777" w:rsidR="00774CB1" w:rsidRDefault="00774CB1" w:rsidP="00C82218">
      <w:pPr>
        <w:spacing w:after="0" w:line="240" w:lineRule="auto"/>
        <w:jc w:val="center"/>
        <w:rPr>
          <w:rFonts w:ascii="Arial" w:eastAsia="Times New Roman" w:hAnsi="Arial" w:cs="Arial"/>
          <w:sz w:val="44"/>
          <w:szCs w:val="20"/>
          <w:lang w:val="es-ES"/>
        </w:rPr>
      </w:pPr>
    </w:p>
    <w:p w14:paraId="61CAD754" w14:textId="77777777" w:rsidR="00774CB1" w:rsidRDefault="00774CB1" w:rsidP="00C82218">
      <w:pPr>
        <w:spacing w:after="0" w:line="240" w:lineRule="auto"/>
        <w:jc w:val="center"/>
        <w:rPr>
          <w:rFonts w:ascii="Arial" w:eastAsia="Times New Roman" w:hAnsi="Arial" w:cs="Arial"/>
          <w:sz w:val="44"/>
          <w:szCs w:val="20"/>
          <w:lang w:val="es-ES"/>
        </w:rPr>
      </w:pPr>
    </w:p>
    <w:p w14:paraId="3DB3A8BA" w14:textId="77777777" w:rsidR="00774CB1" w:rsidRDefault="00774CB1"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322FD0">
      <w:pPr>
        <w:spacing w:after="0" w:line="240" w:lineRule="auto"/>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tbl>
      <w:tblPr>
        <w:tblW w:w="10874" w:type="dxa"/>
        <w:tblInd w:w="-1206" w:type="dxa"/>
        <w:tblCellMar>
          <w:left w:w="70" w:type="dxa"/>
          <w:right w:w="70" w:type="dxa"/>
        </w:tblCellMar>
        <w:tblLook w:val="04A0" w:firstRow="1" w:lastRow="0" w:firstColumn="1" w:lastColumn="0" w:noHBand="0" w:noVBand="1"/>
      </w:tblPr>
      <w:tblGrid>
        <w:gridCol w:w="479"/>
        <w:gridCol w:w="1418"/>
        <w:gridCol w:w="2959"/>
        <w:gridCol w:w="1429"/>
        <w:gridCol w:w="1241"/>
        <w:gridCol w:w="862"/>
        <w:gridCol w:w="1386"/>
        <w:gridCol w:w="1100"/>
      </w:tblGrid>
      <w:tr w:rsidR="00322FD0" w:rsidRPr="00322FD0" w14:paraId="4AAE3D52" w14:textId="77777777" w:rsidTr="00322FD0">
        <w:trPr>
          <w:trHeight w:val="300"/>
        </w:trPr>
        <w:tc>
          <w:tcPr>
            <w:tcW w:w="10874" w:type="dxa"/>
            <w:gridSpan w:val="8"/>
            <w:tcBorders>
              <w:top w:val="nil"/>
              <w:left w:val="nil"/>
              <w:bottom w:val="nil"/>
              <w:right w:val="nil"/>
            </w:tcBorders>
            <w:shd w:val="clear" w:color="auto" w:fill="auto"/>
            <w:noWrap/>
            <w:vAlign w:val="bottom"/>
            <w:hideMark/>
          </w:tcPr>
          <w:p w14:paraId="3F7D72E9" w14:textId="77777777" w:rsidR="00322FD0" w:rsidRPr="00322FD0" w:rsidRDefault="00322FD0" w:rsidP="00322FD0">
            <w:pPr>
              <w:spacing w:after="0" w:line="240" w:lineRule="auto"/>
              <w:jc w:val="center"/>
              <w:rPr>
                <w:rFonts w:ascii="Calibri" w:eastAsia="Times New Roman" w:hAnsi="Calibri" w:cs="Calibri"/>
                <w:b/>
                <w:bCs/>
                <w:sz w:val="18"/>
                <w:szCs w:val="18"/>
                <w:lang w:val="es-PA" w:eastAsia="es-PA"/>
              </w:rPr>
            </w:pPr>
            <w:r w:rsidRPr="00322FD0">
              <w:rPr>
                <w:rFonts w:ascii="Calibri" w:eastAsia="Times New Roman" w:hAnsi="Calibri" w:cs="Calibri"/>
                <w:b/>
                <w:bCs/>
                <w:sz w:val="18"/>
                <w:szCs w:val="18"/>
                <w:lang w:val="es-PA" w:eastAsia="es-PA"/>
              </w:rPr>
              <w:t>Ítems del llamado PUBLICIDAD Y PROPAGANDA con ID: 351261</w:t>
            </w:r>
          </w:p>
        </w:tc>
      </w:tr>
      <w:tr w:rsidR="00322FD0" w:rsidRPr="00322FD0" w14:paraId="75E27E95" w14:textId="77777777" w:rsidTr="00322FD0">
        <w:trPr>
          <w:trHeight w:val="300"/>
        </w:trPr>
        <w:tc>
          <w:tcPr>
            <w:tcW w:w="10874" w:type="dxa"/>
            <w:gridSpan w:val="8"/>
            <w:tcBorders>
              <w:top w:val="nil"/>
              <w:left w:val="nil"/>
              <w:bottom w:val="nil"/>
              <w:right w:val="nil"/>
            </w:tcBorders>
            <w:shd w:val="diagCross" w:color="868686" w:fill="auto"/>
            <w:noWrap/>
            <w:vAlign w:val="bottom"/>
            <w:hideMark/>
          </w:tcPr>
          <w:p w14:paraId="1973431D"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roofErr w:type="spellStart"/>
            <w:r w:rsidRPr="00322FD0">
              <w:rPr>
                <w:rFonts w:ascii="Calibri" w:eastAsia="Times New Roman" w:hAnsi="Calibri" w:cs="Calibri"/>
                <w:color w:val="000000"/>
                <w:sz w:val="18"/>
                <w:szCs w:val="18"/>
                <w:lang w:val="es-PA" w:eastAsia="es-PA"/>
              </w:rPr>
              <w:t>LoteTotal</w:t>
            </w:r>
            <w:proofErr w:type="spellEnd"/>
            <w:r w:rsidRPr="00322FD0">
              <w:rPr>
                <w:rFonts w:ascii="Calibri" w:eastAsia="Times New Roman" w:hAnsi="Calibri" w:cs="Calibri"/>
                <w:color w:val="000000"/>
                <w:sz w:val="18"/>
                <w:szCs w:val="18"/>
                <w:lang w:val="es-PA" w:eastAsia="es-PA"/>
              </w:rPr>
              <w:t>, Contrato Abierto: No , Abastecimiento simultáneo: No</w:t>
            </w:r>
          </w:p>
        </w:tc>
      </w:tr>
      <w:tr w:rsidR="00322FD0" w:rsidRPr="00322FD0" w14:paraId="786B6463" w14:textId="77777777" w:rsidTr="00322FD0">
        <w:trPr>
          <w:trHeight w:val="1002"/>
        </w:trPr>
        <w:tc>
          <w:tcPr>
            <w:tcW w:w="479" w:type="dxa"/>
            <w:tcBorders>
              <w:top w:val="nil"/>
              <w:left w:val="nil"/>
              <w:bottom w:val="nil"/>
              <w:right w:val="nil"/>
            </w:tcBorders>
            <w:shd w:val="clear" w:color="auto" w:fill="auto"/>
            <w:noWrap/>
            <w:vAlign w:val="bottom"/>
            <w:hideMark/>
          </w:tcPr>
          <w:p w14:paraId="0D1F0C2C"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Ítem</w:t>
            </w:r>
          </w:p>
        </w:tc>
        <w:tc>
          <w:tcPr>
            <w:tcW w:w="1418" w:type="dxa"/>
            <w:tcBorders>
              <w:top w:val="nil"/>
              <w:left w:val="nil"/>
              <w:bottom w:val="nil"/>
              <w:right w:val="nil"/>
            </w:tcBorders>
            <w:shd w:val="clear" w:color="auto" w:fill="auto"/>
            <w:vAlign w:val="center"/>
            <w:hideMark/>
          </w:tcPr>
          <w:p w14:paraId="7B22B924"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Código Catálogo</w:t>
            </w:r>
          </w:p>
        </w:tc>
        <w:tc>
          <w:tcPr>
            <w:tcW w:w="2959" w:type="dxa"/>
            <w:tcBorders>
              <w:top w:val="nil"/>
              <w:left w:val="nil"/>
              <w:bottom w:val="nil"/>
              <w:right w:val="nil"/>
            </w:tcBorders>
            <w:shd w:val="clear" w:color="auto" w:fill="auto"/>
            <w:noWrap/>
            <w:vAlign w:val="bottom"/>
            <w:hideMark/>
          </w:tcPr>
          <w:p w14:paraId="7E258D04"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Descripción del Bien</w:t>
            </w:r>
          </w:p>
        </w:tc>
        <w:tc>
          <w:tcPr>
            <w:tcW w:w="1429" w:type="dxa"/>
            <w:tcBorders>
              <w:top w:val="nil"/>
              <w:left w:val="nil"/>
              <w:bottom w:val="nil"/>
              <w:right w:val="nil"/>
            </w:tcBorders>
            <w:shd w:val="clear" w:color="auto" w:fill="auto"/>
            <w:vAlign w:val="center"/>
            <w:hideMark/>
          </w:tcPr>
          <w:p w14:paraId="019FC4DF"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Unidad de Medida</w:t>
            </w:r>
          </w:p>
        </w:tc>
        <w:tc>
          <w:tcPr>
            <w:tcW w:w="1241" w:type="dxa"/>
            <w:tcBorders>
              <w:top w:val="nil"/>
              <w:left w:val="nil"/>
              <w:bottom w:val="nil"/>
              <w:right w:val="nil"/>
            </w:tcBorders>
            <w:shd w:val="clear" w:color="auto" w:fill="auto"/>
            <w:vAlign w:val="center"/>
            <w:hideMark/>
          </w:tcPr>
          <w:p w14:paraId="69506092"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Presentación</w:t>
            </w:r>
          </w:p>
        </w:tc>
        <w:tc>
          <w:tcPr>
            <w:tcW w:w="862" w:type="dxa"/>
            <w:tcBorders>
              <w:top w:val="nil"/>
              <w:left w:val="nil"/>
              <w:bottom w:val="nil"/>
              <w:right w:val="nil"/>
            </w:tcBorders>
            <w:shd w:val="clear" w:color="auto" w:fill="auto"/>
            <w:noWrap/>
            <w:vAlign w:val="bottom"/>
            <w:hideMark/>
          </w:tcPr>
          <w:p w14:paraId="4B95BEC5"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Cantidad</w:t>
            </w:r>
          </w:p>
        </w:tc>
        <w:tc>
          <w:tcPr>
            <w:tcW w:w="1386" w:type="dxa"/>
            <w:tcBorders>
              <w:top w:val="nil"/>
              <w:left w:val="nil"/>
              <w:bottom w:val="nil"/>
              <w:right w:val="nil"/>
            </w:tcBorders>
            <w:shd w:val="clear" w:color="auto" w:fill="auto"/>
            <w:vAlign w:val="center"/>
            <w:hideMark/>
          </w:tcPr>
          <w:p w14:paraId="4AC468ED"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 xml:space="preserve">Precio unitario (IVA </w:t>
            </w:r>
            <w:proofErr w:type="spellStart"/>
            <w:r w:rsidRPr="00322FD0">
              <w:rPr>
                <w:rFonts w:ascii="Calibri" w:eastAsia="Times New Roman" w:hAnsi="Calibri" w:cs="Calibri"/>
                <w:color w:val="000000"/>
                <w:sz w:val="18"/>
                <w:szCs w:val="18"/>
                <w:lang w:val="es-PA" w:eastAsia="es-PA"/>
              </w:rPr>
              <w:t>incluído</w:t>
            </w:r>
            <w:proofErr w:type="spellEnd"/>
            <w:r w:rsidRPr="00322FD0">
              <w:rPr>
                <w:rFonts w:ascii="Calibri" w:eastAsia="Times New Roman" w:hAnsi="Calibri" w:cs="Calibri"/>
                <w:color w:val="000000"/>
                <w:sz w:val="18"/>
                <w:szCs w:val="18"/>
                <w:lang w:val="es-PA" w:eastAsia="es-PA"/>
              </w:rPr>
              <w:t>)</w:t>
            </w:r>
          </w:p>
        </w:tc>
        <w:tc>
          <w:tcPr>
            <w:tcW w:w="1100" w:type="dxa"/>
            <w:tcBorders>
              <w:top w:val="nil"/>
              <w:left w:val="nil"/>
              <w:bottom w:val="nil"/>
              <w:right w:val="nil"/>
            </w:tcBorders>
            <w:shd w:val="clear" w:color="auto" w:fill="auto"/>
            <w:noWrap/>
            <w:vAlign w:val="bottom"/>
            <w:hideMark/>
          </w:tcPr>
          <w:p w14:paraId="6BFA325F"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Precio total</w:t>
            </w:r>
          </w:p>
        </w:tc>
      </w:tr>
      <w:tr w:rsidR="00322FD0" w:rsidRPr="00322FD0" w14:paraId="6BBBFC96" w14:textId="77777777" w:rsidTr="00322FD0">
        <w:trPr>
          <w:trHeight w:val="2145"/>
        </w:trPr>
        <w:tc>
          <w:tcPr>
            <w:tcW w:w="479" w:type="dxa"/>
            <w:tcBorders>
              <w:top w:val="nil"/>
              <w:left w:val="nil"/>
              <w:bottom w:val="nil"/>
              <w:right w:val="nil"/>
            </w:tcBorders>
            <w:shd w:val="diagCross" w:color="D3D3D3" w:fill="auto"/>
            <w:noWrap/>
            <w:vAlign w:val="bottom"/>
            <w:hideMark/>
          </w:tcPr>
          <w:p w14:paraId="4AF73029"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1</w:t>
            </w:r>
          </w:p>
        </w:tc>
        <w:tc>
          <w:tcPr>
            <w:tcW w:w="1418" w:type="dxa"/>
            <w:tcBorders>
              <w:top w:val="nil"/>
              <w:left w:val="nil"/>
              <w:bottom w:val="nil"/>
              <w:right w:val="nil"/>
            </w:tcBorders>
            <w:shd w:val="diagCross" w:color="D3D3D3" w:fill="auto"/>
            <w:noWrap/>
            <w:vAlign w:val="bottom"/>
            <w:hideMark/>
          </w:tcPr>
          <w:p w14:paraId="07FF7B07"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82101601-001</w:t>
            </w:r>
          </w:p>
        </w:tc>
        <w:tc>
          <w:tcPr>
            <w:tcW w:w="2959" w:type="dxa"/>
            <w:tcBorders>
              <w:top w:val="nil"/>
              <w:left w:val="nil"/>
              <w:bottom w:val="nil"/>
              <w:right w:val="nil"/>
            </w:tcBorders>
            <w:shd w:val="diagCross" w:color="D3D3D3" w:fill="auto"/>
            <w:vAlign w:val="center"/>
            <w:hideMark/>
          </w:tcPr>
          <w:p w14:paraId="6F1F5EC2" w14:textId="1B6DD00B"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 xml:space="preserve">Publicidad radial, con spot publicitario de 40", en medio locales con </w:t>
            </w:r>
            <w:r w:rsidR="00A4514A" w:rsidRPr="00322FD0">
              <w:rPr>
                <w:rFonts w:ascii="Calibri" w:eastAsia="Times New Roman" w:hAnsi="Calibri" w:cs="Calibri"/>
                <w:color w:val="000000"/>
                <w:sz w:val="18"/>
                <w:szCs w:val="18"/>
                <w:lang w:val="es-PA" w:eastAsia="es-PA"/>
              </w:rPr>
              <w:t>alcance</w:t>
            </w:r>
            <w:r w:rsidRPr="00322FD0">
              <w:rPr>
                <w:rFonts w:ascii="Calibri" w:eastAsia="Times New Roman" w:hAnsi="Calibri" w:cs="Calibri"/>
                <w:color w:val="000000"/>
                <w:sz w:val="18"/>
                <w:szCs w:val="18"/>
                <w:lang w:val="es-PA" w:eastAsia="es-PA"/>
              </w:rPr>
              <w:t xml:space="preserve"> departamental, con correspondencia con medio de </w:t>
            </w:r>
            <w:r w:rsidR="00A4514A" w:rsidRPr="00322FD0">
              <w:rPr>
                <w:rFonts w:ascii="Calibri" w:eastAsia="Times New Roman" w:hAnsi="Calibri" w:cs="Calibri"/>
                <w:color w:val="000000"/>
                <w:sz w:val="18"/>
                <w:szCs w:val="18"/>
                <w:lang w:val="es-PA" w:eastAsia="es-PA"/>
              </w:rPr>
              <w:t>alcance</w:t>
            </w:r>
            <w:r w:rsidRPr="00322FD0">
              <w:rPr>
                <w:rFonts w:ascii="Calibri" w:eastAsia="Times New Roman" w:hAnsi="Calibri" w:cs="Calibri"/>
                <w:color w:val="000000"/>
                <w:sz w:val="18"/>
                <w:szCs w:val="18"/>
                <w:lang w:val="es-PA" w:eastAsia="es-PA"/>
              </w:rPr>
              <w:t xml:space="preserve"> nacional e internacional,( el espacio </w:t>
            </w:r>
            <w:r w:rsidR="00A4514A" w:rsidRPr="00322FD0">
              <w:rPr>
                <w:rFonts w:ascii="Calibri" w:eastAsia="Times New Roman" w:hAnsi="Calibri" w:cs="Calibri"/>
                <w:color w:val="000000"/>
                <w:sz w:val="18"/>
                <w:szCs w:val="18"/>
                <w:lang w:val="es-PA" w:eastAsia="es-PA"/>
              </w:rPr>
              <w:t>será</w:t>
            </w:r>
            <w:r w:rsidRPr="00322FD0">
              <w:rPr>
                <w:rFonts w:ascii="Calibri" w:eastAsia="Times New Roman" w:hAnsi="Calibri" w:cs="Calibri"/>
                <w:color w:val="000000"/>
                <w:sz w:val="18"/>
                <w:szCs w:val="18"/>
                <w:lang w:val="es-PA" w:eastAsia="es-PA"/>
              </w:rPr>
              <w:t xml:space="preserve"> cotizado en segundo)</w:t>
            </w:r>
          </w:p>
        </w:tc>
        <w:tc>
          <w:tcPr>
            <w:tcW w:w="1429" w:type="dxa"/>
            <w:tcBorders>
              <w:top w:val="nil"/>
              <w:left w:val="nil"/>
              <w:bottom w:val="nil"/>
              <w:right w:val="nil"/>
            </w:tcBorders>
            <w:shd w:val="diagCross" w:color="D3D3D3" w:fill="auto"/>
            <w:noWrap/>
            <w:vAlign w:val="bottom"/>
            <w:hideMark/>
          </w:tcPr>
          <w:p w14:paraId="2183208E"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Segundo</w:t>
            </w:r>
          </w:p>
        </w:tc>
        <w:tc>
          <w:tcPr>
            <w:tcW w:w="1241" w:type="dxa"/>
            <w:tcBorders>
              <w:top w:val="nil"/>
              <w:left w:val="nil"/>
              <w:bottom w:val="nil"/>
              <w:right w:val="nil"/>
            </w:tcBorders>
            <w:shd w:val="diagCross" w:color="D3D3D3" w:fill="auto"/>
            <w:noWrap/>
            <w:vAlign w:val="bottom"/>
            <w:hideMark/>
          </w:tcPr>
          <w:p w14:paraId="3E84A69A"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EVENTO</w:t>
            </w:r>
          </w:p>
        </w:tc>
        <w:tc>
          <w:tcPr>
            <w:tcW w:w="862" w:type="dxa"/>
            <w:tcBorders>
              <w:top w:val="nil"/>
              <w:left w:val="nil"/>
              <w:bottom w:val="nil"/>
              <w:right w:val="nil"/>
            </w:tcBorders>
            <w:shd w:val="diagCross" w:color="D3D3D3" w:fill="auto"/>
            <w:noWrap/>
            <w:vAlign w:val="bottom"/>
            <w:hideMark/>
          </w:tcPr>
          <w:p w14:paraId="01F83293"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1</w:t>
            </w:r>
          </w:p>
        </w:tc>
        <w:tc>
          <w:tcPr>
            <w:tcW w:w="1386" w:type="dxa"/>
            <w:tcBorders>
              <w:top w:val="nil"/>
              <w:left w:val="nil"/>
              <w:bottom w:val="nil"/>
              <w:right w:val="nil"/>
            </w:tcBorders>
            <w:shd w:val="diagCross" w:color="D3D3D3" w:fill="auto"/>
            <w:noWrap/>
            <w:vAlign w:val="bottom"/>
            <w:hideMark/>
          </w:tcPr>
          <w:p w14:paraId="29B8CF9A"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100" w:type="dxa"/>
            <w:tcBorders>
              <w:top w:val="nil"/>
              <w:left w:val="nil"/>
              <w:bottom w:val="nil"/>
              <w:right w:val="nil"/>
            </w:tcBorders>
            <w:shd w:val="diagCross" w:color="D3D3D3" w:fill="auto"/>
            <w:noWrap/>
            <w:vAlign w:val="bottom"/>
            <w:hideMark/>
          </w:tcPr>
          <w:p w14:paraId="32010224"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proofErr w:type="gramStart"/>
            <w:r w:rsidRPr="00322FD0">
              <w:rPr>
                <w:rFonts w:ascii="Calibri" w:eastAsia="Times New Roman" w:hAnsi="Calibri" w:cs="Calibri"/>
                <w:color w:val="000000"/>
                <w:sz w:val="18"/>
                <w:szCs w:val="18"/>
                <w:lang w:val="es-PA" w:eastAsia="es-PA"/>
              </w:rPr>
              <w:t>#¡</w:t>
            </w:r>
            <w:proofErr w:type="gramEnd"/>
            <w:r w:rsidRPr="00322FD0">
              <w:rPr>
                <w:rFonts w:ascii="Calibri" w:eastAsia="Times New Roman" w:hAnsi="Calibri" w:cs="Calibri"/>
                <w:color w:val="000000"/>
                <w:sz w:val="18"/>
                <w:szCs w:val="18"/>
                <w:lang w:val="es-PA" w:eastAsia="es-PA"/>
              </w:rPr>
              <w:t>VALOR!</w:t>
            </w:r>
          </w:p>
        </w:tc>
      </w:tr>
      <w:tr w:rsidR="00322FD0" w:rsidRPr="00322FD0" w14:paraId="422D37B7" w14:textId="77777777" w:rsidTr="00322FD0">
        <w:trPr>
          <w:trHeight w:val="2145"/>
        </w:trPr>
        <w:tc>
          <w:tcPr>
            <w:tcW w:w="479" w:type="dxa"/>
            <w:tcBorders>
              <w:top w:val="nil"/>
              <w:left w:val="nil"/>
              <w:bottom w:val="nil"/>
              <w:right w:val="nil"/>
            </w:tcBorders>
            <w:shd w:val="diagCross" w:color="D3D3D3" w:fill="auto"/>
            <w:noWrap/>
            <w:vAlign w:val="bottom"/>
            <w:hideMark/>
          </w:tcPr>
          <w:p w14:paraId="25D5FAB5"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2</w:t>
            </w:r>
          </w:p>
        </w:tc>
        <w:tc>
          <w:tcPr>
            <w:tcW w:w="1418" w:type="dxa"/>
            <w:tcBorders>
              <w:top w:val="nil"/>
              <w:left w:val="nil"/>
              <w:bottom w:val="nil"/>
              <w:right w:val="nil"/>
            </w:tcBorders>
            <w:shd w:val="diagCross" w:color="D3D3D3" w:fill="auto"/>
            <w:noWrap/>
            <w:vAlign w:val="bottom"/>
            <w:hideMark/>
          </w:tcPr>
          <w:p w14:paraId="1CFFC11B"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82101602-001</w:t>
            </w:r>
          </w:p>
        </w:tc>
        <w:tc>
          <w:tcPr>
            <w:tcW w:w="2959" w:type="dxa"/>
            <w:tcBorders>
              <w:top w:val="nil"/>
              <w:left w:val="nil"/>
              <w:bottom w:val="nil"/>
              <w:right w:val="nil"/>
            </w:tcBorders>
            <w:shd w:val="diagCross" w:color="D3D3D3" w:fill="auto"/>
            <w:vAlign w:val="center"/>
            <w:hideMark/>
          </w:tcPr>
          <w:p w14:paraId="1A9FEA00" w14:textId="3654FD1A"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 xml:space="preserve">Publicidad televisiva, con spot publicitario de 30" en canal de cable local con correspondencia con canales de </w:t>
            </w:r>
            <w:r w:rsidR="00A4514A" w:rsidRPr="00322FD0">
              <w:rPr>
                <w:rFonts w:ascii="Calibri" w:eastAsia="Times New Roman" w:hAnsi="Calibri" w:cs="Calibri"/>
                <w:color w:val="000000"/>
                <w:sz w:val="18"/>
                <w:szCs w:val="18"/>
                <w:lang w:val="es-PA" w:eastAsia="es-PA"/>
              </w:rPr>
              <w:t>alcance</w:t>
            </w:r>
            <w:bookmarkStart w:id="0" w:name="_GoBack"/>
            <w:bookmarkEnd w:id="0"/>
            <w:r w:rsidRPr="00322FD0">
              <w:rPr>
                <w:rFonts w:ascii="Calibri" w:eastAsia="Times New Roman" w:hAnsi="Calibri" w:cs="Calibri"/>
                <w:color w:val="000000"/>
                <w:sz w:val="18"/>
                <w:szCs w:val="18"/>
                <w:lang w:val="es-PA" w:eastAsia="es-PA"/>
              </w:rPr>
              <w:t xml:space="preserve"> nacional e internacional, (el espacio publicitario </w:t>
            </w:r>
            <w:r w:rsidR="00A4514A" w:rsidRPr="00322FD0">
              <w:rPr>
                <w:rFonts w:ascii="Calibri" w:eastAsia="Times New Roman" w:hAnsi="Calibri" w:cs="Calibri"/>
                <w:color w:val="000000"/>
                <w:sz w:val="18"/>
                <w:szCs w:val="18"/>
                <w:lang w:val="es-PA" w:eastAsia="es-PA"/>
              </w:rPr>
              <w:t>será</w:t>
            </w:r>
            <w:r w:rsidRPr="00322FD0">
              <w:rPr>
                <w:rFonts w:ascii="Calibri" w:eastAsia="Times New Roman" w:hAnsi="Calibri" w:cs="Calibri"/>
                <w:color w:val="000000"/>
                <w:sz w:val="18"/>
                <w:szCs w:val="18"/>
                <w:lang w:val="es-PA" w:eastAsia="es-PA"/>
              </w:rPr>
              <w:t xml:space="preserve"> cotizado en segundo)</w:t>
            </w:r>
          </w:p>
        </w:tc>
        <w:tc>
          <w:tcPr>
            <w:tcW w:w="1429" w:type="dxa"/>
            <w:tcBorders>
              <w:top w:val="nil"/>
              <w:left w:val="nil"/>
              <w:bottom w:val="nil"/>
              <w:right w:val="nil"/>
            </w:tcBorders>
            <w:shd w:val="diagCross" w:color="D3D3D3" w:fill="auto"/>
            <w:noWrap/>
            <w:vAlign w:val="bottom"/>
            <w:hideMark/>
          </w:tcPr>
          <w:p w14:paraId="03E0B687"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Segundo</w:t>
            </w:r>
          </w:p>
        </w:tc>
        <w:tc>
          <w:tcPr>
            <w:tcW w:w="1241" w:type="dxa"/>
            <w:tcBorders>
              <w:top w:val="nil"/>
              <w:left w:val="nil"/>
              <w:bottom w:val="nil"/>
              <w:right w:val="nil"/>
            </w:tcBorders>
            <w:shd w:val="diagCross" w:color="D3D3D3" w:fill="auto"/>
            <w:noWrap/>
            <w:vAlign w:val="bottom"/>
            <w:hideMark/>
          </w:tcPr>
          <w:p w14:paraId="5EC7192E"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EVENTO</w:t>
            </w:r>
          </w:p>
        </w:tc>
        <w:tc>
          <w:tcPr>
            <w:tcW w:w="862" w:type="dxa"/>
            <w:tcBorders>
              <w:top w:val="nil"/>
              <w:left w:val="nil"/>
              <w:bottom w:val="nil"/>
              <w:right w:val="nil"/>
            </w:tcBorders>
            <w:shd w:val="diagCross" w:color="D3D3D3" w:fill="auto"/>
            <w:noWrap/>
            <w:vAlign w:val="bottom"/>
            <w:hideMark/>
          </w:tcPr>
          <w:p w14:paraId="171DE623"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1</w:t>
            </w:r>
          </w:p>
        </w:tc>
        <w:tc>
          <w:tcPr>
            <w:tcW w:w="1386" w:type="dxa"/>
            <w:tcBorders>
              <w:top w:val="nil"/>
              <w:left w:val="nil"/>
              <w:bottom w:val="nil"/>
              <w:right w:val="nil"/>
            </w:tcBorders>
            <w:shd w:val="diagCross" w:color="D3D3D3" w:fill="auto"/>
            <w:noWrap/>
            <w:vAlign w:val="bottom"/>
            <w:hideMark/>
          </w:tcPr>
          <w:p w14:paraId="711279D2"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100" w:type="dxa"/>
            <w:tcBorders>
              <w:top w:val="nil"/>
              <w:left w:val="nil"/>
              <w:bottom w:val="nil"/>
              <w:right w:val="nil"/>
            </w:tcBorders>
            <w:shd w:val="diagCross" w:color="D3D3D3" w:fill="auto"/>
            <w:noWrap/>
            <w:vAlign w:val="bottom"/>
            <w:hideMark/>
          </w:tcPr>
          <w:p w14:paraId="6CD85477" w14:textId="77777777" w:rsidR="00322FD0" w:rsidRPr="00322FD0" w:rsidRDefault="00322FD0" w:rsidP="00322FD0">
            <w:pPr>
              <w:spacing w:after="0" w:line="240" w:lineRule="auto"/>
              <w:jc w:val="center"/>
              <w:rPr>
                <w:rFonts w:ascii="Calibri" w:eastAsia="Times New Roman" w:hAnsi="Calibri" w:cs="Calibri"/>
                <w:color w:val="000000"/>
                <w:sz w:val="18"/>
                <w:szCs w:val="18"/>
                <w:lang w:val="es-PA" w:eastAsia="es-PA"/>
              </w:rPr>
            </w:pPr>
            <w:proofErr w:type="gramStart"/>
            <w:r w:rsidRPr="00322FD0">
              <w:rPr>
                <w:rFonts w:ascii="Calibri" w:eastAsia="Times New Roman" w:hAnsi="Calibri" w:cs="Calibri"/>
                <w:color w:val="000000"/>
                <w:sz w:val="18"/>
                <w:szCs w:val="18"/>
                <w:lang w:val="es-PA" w:eastAsia="es-PA"/>
              </w:rPr>
              <w:t>#¡</w:t>
            </w:r>
            <w:proofErr w:type="gramEnd"/>
            <w:r w:rsidRPr="00322FD0">
              <w:rPr>
                <w:rFonts w:ascii="Calibri" w:eastAsia="Times New Roman" w:hAnsi="Calibri" w:cs="Calibri"/>
                <w:color w:val="000000"/>
                <w:sz w:val="18"/>
                <w:szCs w:val="18"/>
                <w:lang w:val="es-PA" w:eastAsia="es-PA"/>
              </w:rPr>
              <w:t>VALOR!</w:t>
            </w:r>
          </w:p>
        </w:tc>
      </w:tr>
      <w:tr w:rsidR="00322FD0" w:rsidRPr="00322FD0" w14:paraId="1D615FBE" w14:textId="77777777" w:rsidTr="00322FD0">
        <w:trPr>
          <w:trHeight w:val="300"/>
        </w:trPr>
        <w:tc>
          <w:tcPr>
            <w:tcW w:w="479" w:type="dxa"/>
            <w:tcBorders>
              <w:top w:val="nil"/>
              <w:left w:val="nil"/>
              <w:bottom w:val="nil"/>
              <w:right w:val="nil"/>
            </w:tcBorders>
            <w:shd w:val="clear" w:color="auto" w:fill="auto"/>
            <w:noWrap/>
            <w:vAlign w:val="bottom"/>
            <w:hideMark/>
          </w:tcPr>
          <w:p w14:paraId="5BBF4344"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418" w:type="dxa"/>
            <w:tcBorders>
              <w:top w:val="nil"/>
              <w:left w:val="nil"/>
              <w:bottom w:val="nil"/>
              <w:right w:val="nil"/>
            </w:tcBorders>
            <w:shd w:val="clear" w:color="auto" w:fill="auto"/>
            <w:noWrap/>
            <w:vAlign w:val="bottom"/>
            <w:hideMark/>
          </w:tcPr>
          <w:p w14:paraId="53847519"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2959" w:type="dxa"/>
            <w:tcBorders>
              <w:top w:val="nil"/>
              <w:left w:val="nil"/>
              <w:bottom w:val="nil"/>
              <w:right w:val="nil"/>
            </w:tcBorders>
            <w:shd w:val="clear" w:color="auto" w:fill="auto"/>
            <w:noWrap/>
            <w:vAlign w:val="bottom"/>
            <w:hideMark/>
          </w:tcPr>
          <w:p w14:paraId="1B8D216B"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429" w:type="dxa"/>
            <w:tcBorders>
              <w:top w:val="nil"/>
              <w:left w:val="nil"/>
              <w:bottom w:val="nil"/>
              <w:right w:val="nil"/>
            </w:tcBorders>
            <w:shd w:val="clear" w:color="auto" w:fill="auto"/>
            <w:noWrap/>
            <w:vAlign w:val="bottom"/>
            <w:hideMark/>
          </w:tcPr>
          <w:p w14:paraId="1047B77A"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241" w:type="dxa"/>
            <w:tcBorders>
              <w:top w:val="nil"/>
              <w:left w:val="nil"/>
              <w:bottom w:val="nil"/>
              <w:right w:val="nil"/>
            </w:tcBorders>
            <w:shd w:val="clear" w:color="auto" w:fill="auto"/>
            <w:noWrap/>
            <w:vAlign w:val="bottom"/>
            <w:hideMark/>
          </w:tcPr>
          <w:p w14:paraId="2A56803D"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862" w:type="dxa"/>
            <w:tcBorders>
              <w:top w:val="nil"/>
              <w:left w:val="nil"/>
              <w:bottom w:val="nil"/>
              <w:right w:val="nil"/>
            </w:tcBorders>
            <w:shd w:val="clear" w:color="auto" w:fill="auto"/>
            <w:noWrap/>
            <w:vAlign w:val="bottom"/>
            <w:hideMark/>
          </w:tcPr>
          <w:p w14:paraId="5382717C"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c>
          <w:tcPr>
            <w:tcW w:w="1386" w:type="dxa"/>
            <w:tcBorders>
              <w:top w:val="nil"/>
              <w:left w:val="nil"/>
              <w:bottom w:val="nil"/>
              <w:right w:val="nil"/>
            </w:tcBorders>
            <w:shd w:val="clear" w:color="auto" w:fill="auto"/>
            <w:noWrap/>
            <w:vAlign w:val="bottom"/>
            <w:hideMark/>
          </w:tcPr>
          <w:p w14:paraId="4E488D45"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r w:rsidRPr="00322FD0">
              <w:rPr>
                <w:rFonts w:ascii="Calibri" w:eastAsia="Times New Roman" w:hAnsi="Calibri" w:cs="Calibri"/>
                <w:color w:val="000000"/>
                <w:sz w:val="18"/>
                <w:szCs w:val="18"/>
                <w:lang w:val="es-PA" w:eastAsia="es-PA"/>
              </w:rPr>
              <w:t>Precio Total</w:t>
            </w:r>
          </w:p>
        </w:tc>
        <w:tc>
          <w:tcPr>
            <w:tcW w:w="1100" w:type="dxa"/>
            <w:tcBorders>
              <w:top w:val="nil"/>
              <w:left w:val="nil"/>
              <w:bottom w:val="nil"/>
              <w:right w:val="nil"/>
            </w:tcBorders>
            <w:shd w:val="clear" w:color="auto" w:fill="auto"/>
            <w:noWrap/>
            <w:vAlign w:val="bottom"/>
            <w:hideMark/>
          </w:tcPr>
          <w:p w14:paraId="50606722" w14:textId="77777777" w:rsidR="00322FD0" w:rsidRPr="00322FD0" w:rsidRDefault="00322FD0" w:rsidP="00322FD0">
            <w:pPr>
              <w:spacing w:after="0" w:line="240" w:lineRule="auto"/>
              <w:rPr>
                <w:rFonts w:ascii="Calibri" w:eastAsia="Times New Roman" w:hAnsi="Calibri" w:cs="Calibri"/>
                <w:color w:val="000000"/>
                <w:sz w:val="18"/>
                <w:szCs w:val="18"/>
                <w:lang w:val="es-PA" w:eastAsia="es-PA"/>
              </w:rPr>
            </w:pPr>
          </w:p>
        </w:tc>
      </w:tr>
    </w:tbl>
    <w:p w14:paraId="4516E60D" w14:textId="77777777" w:rsidR="00626F10" w:rsidRDefault="00626F10" w:rsidP="00626F10">
      <w:pPr>
        <w:jc w:val="both"/>
        <w:rPr>
          <w:rFonts w:ascii="Arial" w:hAnsi="Arial" w:cs="Arial"/>
          <w:szCs w:val="20"/>
          <w:u w:val="single"/>
          <w:lang w:val="es-ES"/>
        </w:rPr>
      </w:pPr>
    </w:p>
    <w:p w14:paraId="2C414AF1" w14:textId="77777777" w:rsidR="00396CEA" w:rsidRDefault="00396CEA" w:rsidP="00626F10">
      <w:pPr>
        <w:jc w:val="both"/>
        <w:rPr>
          <w:rFonts w:ascii="Arial" w:hAnsi="Arial" w:cs="Arial"/>
          <w:b/>
          <w:sz w:val="28"/>
          <w:szCs w:val="20"/>
          <w:u w:val="single"/>
        </w:rPr>
      </w:pPr>
    </w:p>
    <w:p w14:paraId="2FB315A9" w14:textId="6B5DF478"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bookmarkStart w:id="1" w:name="_Toc228071956"/>
    </w:p>
    <w:p w14:paraId="0D61EDE2"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r w:rsidRPr="00C74B4B">
        <w:rPr>
          <w:rFonts w:ascii="Arial" w:hAnsi="Arial" w:cs="Arial"/>
          <w:bCs w:val="0"/>
          <w:sz w:val="28"/>
          <w:szCs w:val="20"/>
          <w:u w:val="single"/>
          <w:lang w:val="es-ES"/>
        </w:rPr>
        <w:t>2. Plan de Entregas</w:t>
      </w:r>
    </w:p>
    <w:p w14:paraId="00EFB346"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70447C90" w14:textId="366045C1" w:rsidR="00A36C95" w:rsidRPr="00A36C95" w:rsidRDefault="00A36C95" w:rsidP="00A36C95">
      <w:pPr>
        <w:widowControl w:val="0"/>
        <w:adjustRightInd w:val="0"/>
        <w:spacing w:after="0" w:line="240" w:lineRule="auto"/>
        <w:rPr>
          <w:rFonts w:ascii="Arial" w:eastAsia="Times New Roman" w:hAnsi="Arial" w:cs="Arial"/>
          <w:szCs w:val="20"/>
          <w:u w:val="single"/>
          <w:lang w:val="es-ES"/>
        </w:rPr>
      </w:pPr>
      <w:r w:rsidRPr="00A36C95">
        <w:rPr>
          <w:rFonts w:ascii="Arial" w:eastAsia="Times New Roman" w:hAnsi="Arial" w:cs="Arial"/>
          <w:szCs w:val="20"/>
          <w:u w:val="single"/>
          <w:lang w:val="es-ES"/>
        </w:rPr>
        <w:t xml:space="preserve">A LOS 10 DIAS DE A VER FIRMADO EL CONTRATO,  LA MUNICIPALIDAD DE FERNANDO DE LA MORA, A TRAVES DE LA  DIRECCION DE PRENSA  </w:t>
      </w:r>
      <w:r w:rsidR="006F49CE">
        <w:rPr>
          <w:rFonts w:ascii="Arial" w:eastAsia="Times New Roman" w:hAnsi="Arial" w:cs="Arial"/>
          <w:szCs w:val="20"/>
          <w:u w:val="single"/>
          <w:lang w:val="es-ES"/>
        </w:rPr>
        <w:t>INDICARA LOS DIAS DE PUBLICIDAD Y PROPAGANDA</w:t>
      </w:r>
      <w:r w:rsidRPr="00A36C95">
        <w:rPr>
          <w:rFonts w:ascii="Arial" w:eastAsia="Times New Roman" w:hAnsi="Arial" w:cs="Arial"/>
          <w:szCs w:val="20"/>
          <w:u w:val="single"/>
          <w:lang w:val="es-ES"/>
        </w:rPr>
        <w:t>. DESDE LAS 07:00 HS. A 13:30 DE LUNES A VIERNES</w:t>
      </w:r>
    </w:p>
    <w:p w14:paraId="0E6B8997" w14:textId="77777777" w:rsidR="00A36C95" w:rsidRPr="00A36C95" w:rsidRDefault="00A36C95" w:rsidP="00A36C95">
      <w:pPr>
        <w:widowControl w:val="0"/>
        <w:adjustRightInd w:val="0"/>
        <w:spacing w:after="0" w:line="240" w:lineRule="auto"/>
        <w:rPr>
          <w:rFonts w:ascii="Arial" w:eastAsia="Times New Roman" w:hAnsi="Arial" w:cs="Arial"/>
          <w:szCs w:val="20"/>
          <w:u w:val="single"/>
          <w:lang w:val="es-ES"/>
        </w:rPr>
      </w:pPr>
    </w:p>
    <w:p w14:paraId="4E8A2146" w14:textId="77777777" w:rsidR="00A36C95" w:rsidRPr="00A36C95" w:rsidRDefault="00A36C95" w:rsidP="00A36C95">
      <w:pPr>
        <w:widowControl w:val="0"/>
        <w:adjustRightInd w:val="0"/>
        <w:spacing w:after="0" w:line="240" w:lineRule="auto"/>
        <w:rPr>
          <w:rFonts w:ascii="Arial" w:eastAsia="Times New Roman" w:hAnsi="Arial" w:cs="Arial"/>
          <w:szCs w:val="20"/>
          <w:u w:val="single"/>
          <w:lang w:val="es-ES"/>
        </w:rPr>
      </w:pPr>
    </w:p>
    <w:p w14:paraId="242B55D8" w14:textId="77777777" w:rsidR="00A36C95" w:rsidRPr="00A36C95" w:rsidRDefault="00A36C95" w:rsidP="00A36C95">
      <w:pPr>
        <w:widowControl w:val="0"/>
        <w:adjustRightInd w:val="0"/>
        <w:spacing w:after="0" w:line="240" w:lineRule="auto"/>
        <w:rPr>
          <w:rFonts w:ascii="Arial" w:eastAsia="Times New Roman" w:hAnsi="Arial" w:cs="Arial"/>
          <w:szCs w:val="20"/>
          <w:u w:val="single"/>
          <w:lang w:val="es-ES"/>
        </w:rPr>
      </w:pPr>
    </w:p>
    <w:bookmarkEnd w:id="1"/>
    <w:p w14:paraId="49716790" w14:textId="77777777" w:rsidR="00396CEA" w:rsidRDefault="00396CEA" w:rsidP="00213C2F">
      <w:pPr>
        <w:pStyle w:val="SectionVIHeader"/>
        <w:spacing w:before="0" w:after="0" w:line="360" w:lineRule="auto"/>
        <w:jc w:val="left"/>
        <w:rPr>
          <w:rFonts w:ascii="Arial" w:hAnsi="Arial" w:cs="Arial"/>
          <w:bCs w:val="0"/>
          <w:sz w:val="28"/>
          <w:szCs w:val="20"/>
          <w:u w:val="single"/>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23C5241D" w14:textId="2B0E28BE" w:rsidR="00A76E5D" w:rsidRPr="00E0302C" w:rsidRDefault="00684008" w:rsidP="00E0302C">
      <w:pPr>
        <w:spacing w:after="0" w:line="360" w:lineRule="auto"/>
        <w:jc w:val="both"/>
        <w:rPr>
          <w:rFonts w:ascii="Arial" w:eastAsia="Times New Roman" w:hAnsi="Arial" w:cs="Arial"/>
          <w:i/>
          <w:color w:val="FF0000"/>
          <w:szCs w:val="20"/>
          <w:lang w:val="es-ES"/>
        </w:rPr>
      </w:pPr>
      <w:r>
        <w:rPr>
          <w:rFonts w:ascii="Arial" w:eastAsia="Times New Roman" w:hAnsi="Arial" w:cs="Arial"/>
          <w:i/>
          <w:color w:val="FF0000"/>
          <w:szCs w:val="20"/>
          <w:lang w:val="es-ES"/>
        </w:rPr>
        <w:t>NO APLICA</w:t>
      </w:r>
    </w:p>
    <w:p w14:paraId="44ED88DB" w14:textId="77777777" w:rsidR="00A36C95" w:rsidRPr="00A36C95" w:rsidRDefault="00A36C95" w:rsidP="00A36C95">
      <w:pPr>
        <w:widowControl w:val="0"/>
        <w:tabs>
          <w:tab w:val="left" w:pos="5070"/>
        </w:tabs>
        <w:adjustRightInd w:val="0"/>
        <w:spacing w:after="0" w:line="360" w:lineRule="atLeast"/>
        <w:jc w:val="both"/>
        <w:textAlignment w:val="baseline"/>
        <w:rPr>
          <w:rFonts w:ascii="Arial" w:eastAsia="Times New Roman" w:hAnsi="Arial" w:cs="Arial"/>
          <w:bCs/>
          <w:sz w:val="24"/>
          <w:szCs w:val="24"/>
          <w:lang w:val="es-ES_tradnl" w:eastAsia="es-ES"/>
        </w:rPr>
      </w:pPr>
      <w:r w:rsidRPr="00A36C95">
        <w:rPr>
          <w:rFonts w:ascii="Arial" w:eastAsia="Times New Roman" w:hAnsi="Arial" w:cs="Arial"/>
          <w:bCs/>
          <w:sz w:val="24"/>
          <w:szCs w:val="24"/>
          <w:lang w:val="es-ES_tradnl" w:eastAsia="es-ES"/>
        </w:rPr>
        <w:t>LOS DATOS  DE LA CONTRATACION SERAN CONSIGNADOS EN LA PRESENTE SECCION Y EN EL SICP, LOS MISMO FORMAN PARTE DE LOS DOCUMENTOS DE LA PRESENTE LICITACION</w:t>
      </w:r>
    </w:p>
    <w:p w14:paraId="67A801CA" w14:textId="77777777" w:rsidR="00A36C95" w:rsidRPr="00A36C95" w:rsidRDefault="00A36C95" w:rsidP="00A36C95">
      <w:pPr>
        <w:pStyle w:val="SectionVIHeader"/>
        <w:spacing w:before="0" w:after="0" w:line="240" w:lineRule="auto"/>
        <w:jc w:val="left"/>
        <w:rPr>
          <w:rFonts w:ascii="Arial" w:hAnsi="Arial" w:cs="Arial"/>
          <w:b w:val="0"/>
          <w:bCs w:val="0"/>
          <w:sz w:val="22"/>
          <w:szCs w:val="20"/>
          <w:u w:val="single"/>
          <w:lang w:val="es-ES_tradnl"/>
        </w:rPr>
      </w:pPr>
    </w:p>
    <w:p w14:paraId="3660D9F6" w14:textId="77777777" w:rsidR="0069143B" w:rsidRPr="00A36C95" w:rsidRDefault="0069143B" w:rsidP="00E0302C">
      <w:pPr>
        <w:spacing w:after="0" w:line="360" w:lineRule="auto"/>
        <w:jc w:val="both"/>
        <w:rPr>
          <w:rFonts w:ascii="Arial" w:eastAsia="Times New Roman" w:hAnsi="Arial" w:cs="Arial"/>
          <w:b/>
          <w:sz w:val="36"/>
          <w:szCs w:val="20"/>
          <w:highlight w:val="yellow"/>
          <w:lang w:val="es-ES_tradnl"/>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lastRenderedPageBreak/>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08BA91AC" w14:textId="2F3A14A2" w:rsidR="00885B06" w:rsidRDefault="00885B06" w:rsidP="00885B06">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2015</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6</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7 que de</w:t>
            </w:r>
            <w:r w:rsidR="0001121F">
              <w:rPr>
                <w:rFonts w:ascii="Times New Roman" w:hAnsi="Times New Roman" w:cs="Times New Roman"/>
                <w:i/>
                <w:iCs/>
                <w:color w:val="000000"/>
                <w:sz w:val="23"/>
                <w:szCs w:val="23"/>
                <w:lang w:val="es-PA"/>
              </w:rPr>
              <w:t>muestren  PUBLICIDAD Y PROPAGANDA</w:t>
            </w:r>
            <w:r>
              <w:rPr>
                <w:rFonts w:ascii="Times New Roman" w:hAnsi="Times New Roman" w:cs="Times New Roman"/>
                <w:i/>
                <w:iCs/>
                <w:color w:val="000000"/>
                <w:sz w:val="23"/>
                <w:szCs w:val="23"/>
                <w:lang w:val="es-PA"/>
              </w:rPr>
              <w:t xml:space="preserve">,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4F3E0DDD" w14:textId="0F40A859" w:rsidR="00885B06" w:rsidRPr="00885B06" w:rsidRDefault="00885B06" w:rsidP="00CF1418">
            <w:pPr>
              <w:rPr>
                <w:rFonts w:ascii="Arial" w:hAnsi="Arial" w:cs="Arial"/>
                <w:b/>
                <w:sz w:val="24"/>
                <w:lang w:val="es-PA"/>
              </w:rPr>
            </w:pPr>
          </w:p>
        </w:tc>
      </w:tr>
    </w:tbl>
    <w:p w14:paraId="0661DBC2" w14:textId="77777777" w:rsidR="002D4C87" w:rsidRDefault="002D4C87" w:rsidP="006119A4">
      <w:pPr>
        <w:pStyle w:val="Listaconvietas"/>
        <w:rPr>
          <w:rFonts w:ascii="Arial" w:hAnsi="Arial" w:cs="Arial"/>
          <w:sz w:val="24"/>
        </w:rPr>
      </w:pPr>
    </w:p>
    <w:p w14:paraId="2D62222F" w14:textId="77777777" w:rsidR="00EA2DA7" w:rsidRDefault="00EA2DA7" w:rsidP="006119A4">
      <w:pPr>
        <w:pStyle w:val="Listaconvietas"/>
        <w:rPr>
          <w:rFonts w:ascii="Arial" w:hAnsi="Arial" w:cs="Arial"/>
          <w:sz w:val="24"/>
        </w:rPr>
      </w:pPr>
    </w:p>
    <w:p w14:paraId="28C63925" w14:textId="77777777" w:rsidR="00EA2DA7" w:rsidRDefault="00EA2DA7" w:rsidP="006119A4">
      <w:pPr>
        <w:pStyle w:val="Listaconvietas"/>
        <w:rPr>
          <w:rFonts w:ascii="Arial" w:hAnsi="Arial" w:cs="Arial"/>
          <w:sz w:val="24"/>
        </w:rPr>
      </w:pPr>
    </w:p>
    <w:p w14:paraId="578B12A3" w14:textId="77777777" w:rsidR="00EA2DA7" w:rsidRDefault="00EA2DA7" w:rsidP="006119A4">
      <w:pPr>
        <w:pStyle w:val="Listaconvietas"/>
        <w:rPr>
          <w:rFonts w:ascii="Arial" w:hAnsi="Arial" w:cs="Arial"/>
          <w:sz w:val="24"/>
        </w:rPr>
      </w:pPr>
    </w:p>
    <w:p w14:paraId="0D56DB06" w14:textId="77777777" w:rsidR="00EA2DA7" w:rsidRPr="00C74B4B" w:rsidRDefault="00EA2DA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B84D3" w14:textId="77777777" w:rsidR="00E34A9A" w:rsidRDefault="00E34A9A" w:rsidP="003D1C8A">
      <w:pPr>
        <w:spacing w:after="0" w:line="240" w:lineRule="auto"/>
      </w:pPr>
      <w:r>
        <w:separator/>
      </w:r>
    </w:p>
  </w:endnote>
  <w:endnote w:type="continuationSeparator" w:id="0">
    <w:p w14:paraId="628FBFA0" w14:textId="77777777" w:rsidR="00E34A9A" w:rsidRDefault="00E34A9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52AA5" w14:textId="77777777" w:rsidR="00E34A9A" w:rsidRDefault="00E34A9A" w:rsidP="003D1C8A">
      <w:pPr>
        <w:spacing w:after="0" w:line="240" w:lineRule="auto"/>
      </w:pPr>
      <w:r>
        <w:separator/>
      </w:r>
    </w:p>
  </w:footnote>
  <w:footnote w:type="continuationSeparator" w:id="0">
    <w:p w14:paraId="24594217" w14:textId="77777777" w:rsidR="00E34A9A" w:rsidRDefault="00E34A9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121F"/>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19BC"/>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57DDA"/>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22FD0"/>
    <w:rsid w:val="0033013E"/>
    <w:rsid w:val="003303C3"/>
    <w:rsid w:val="00344823"/>
    <w:rsid w:val="00363628"/>
    <w:rsid w:val="003640C8"/>
    <w:rsid w:val="00373EE0"/>
    <w:rsid w:val="003815D1"/>
    <w:rsid w:val="003842CB"/>
    <w:rsid w:val="00396CEA"/>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4CEC"/>
    <w:rsid w:val="00446BEE"/>
    <w:rsid w:val="004638BB"/>
    <w:rsid w:val="00466DDE"/>
    <w:rsid w:val="004673B0"/>
    <w:rsid w:val="00474BCE"/>
    <w:rsid w:val="00475497"/>
    <w:rsid w:val="0048165C"/>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B65D7"/>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35A73"/>
    <w:rsid w:val="00647B5A"/>
    <w:rsid w:val="00652C9E"/>
    <w:rsid w:val="006615DC"/>
    <w:rsid w:val="00666185"/>
    <w:rsid w:val="00667C00"/>
    <w:rsid w:val="0067437B"/>
    <w:rsid w:val="006761E4"/>
    <w:rsid w:val="00684008"/>
    <w:rsid w:val="00685C80"/>
    <w:rsid w:val="0069143B"/>
    <w:rsid w:val="00694378"/>
    <w:rsid w:val="006A5647"/>
    <w:rsid w:val="006A77AA"/>
    <w:rsid w:val="006A7D23"/>
    <w:rsid w:val="006B0D43"/>
    <w:rsid w:val="006B2735"/>
    <w:rsid w:val="006B3670"/>
    <w:rsid w:val="006D0B4A"/>
    <w:rsid w:val="006D1AEA"/>
    <w:rsid w:val="006E0CFD"/>
    <w:rsid w:val="006E1F47"/>
    <w:rsid w:val="006E3233"/>
    <w:rsid w:val="006F49CE"/>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B3660"/>
    <w:rsid w:val="007C1970"/>
    <w:rsid w:val="007C69E9"/>
    <w:rsid w:val="007D2766"/>
    <w:rsid w:val="007E37A2"/>
    <w:rsid w:val="007E5119"/>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5B06"/>
    <w:rsid w:val="00887A41"/>
    <w:rsid w:val="0089306B"/>
    <w:rsid w:val="008A7BFD"/>
    <w:rsid w:val="008B110A"/>
    <w:rsid w:val="008C1B4A"/>
    <w:rsid w:val="008D00C2"/>
    <w:rsid w:val="008D2059"/>
    <w:rsid w:val="008D4AEC"/>
    <w:rsid w:val="008E5B81"/>
    <w:rsid w:val="008F200B"/>
    <w:rsid w:val="008F622A"/>
    <w:rsid w:val="00900483"/>
    <w:rsid w:val="00900976"/>
    <w:rsid w:val="00914581"/>
    <w:rsid w:val="0092019F"/>
    <w:rsid w:val="00920931"/>
    <w:rsid w:val="009216F0"/>
    <w:rsid w:val="00921766"/>
    <w:rsid w:val="00947242"/>
    <w:rsid w:val="00964A64"/>
    <w:rsid w:val="0096502F"/>
    <w:rsid w:val="00987088"/>
    <w:rsid w:val="009910E1"/>
    <w:rsid w:val="009926D2"/>
    <w:rsid w:val="0099442E"/>
    <w:rsid w:val="0099500D"/>
    <w:rsid w:val="009A3BD0"/>
    <w:rsid w:val="009B1AE4"/>
    <w:rsid w:val="009B34B1"/>
    <w:rsid w:val="009B44B0"/>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36C95"/>
    <w:rsid w:val="00A4217C"/>
    <w:rsid w:val="00A4514A"/>
    <w:rsid w:val="00A55230"/>
    <w:rsid w:val="00A555C5"/>
    <w:rsid w:val="00A64641"/>
    <w:rsid w:val="00A6606E"/>
    <w:rsid w:val="00A72141"/>
    <w:rsid w:val="00A75691"/>
    <w:rsid w:val="00A76E5D"/>
    <w:rsid w:val="00A800CE"/>
    <w:rsid w:val="00A8113B"/>
    <w:rsid w:val="00A83AF0"/>
    <w:rsid w:val="00A8556C"/>
    <w:rsid w:val="00A9013B"/>
    <w:rsid w:val="00A90874"/>
    <w:rsid w:val="00A91809"/>
    <w:rsid w:val="00A91DD5"/>
    <w:rsid w:val="00A93666"/>
    <w:rsid w:val="00A94CBE"/>
    <w:rsid w:val="00A97E88"/>
    <w:rsid w:val="00AA3AA2"/>
    <w:rsid w:val="00AA4F4E"/>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1316F"/>
    <w:rsid w:val="00D15C69"/>
    <w:rsid w:val="00D23BCB"/>
    <w:rsid w:val="00D2771A"/>
    <w:rsid w:val="00D3232F"/>
    <w:rsid w:val="00D44082"/>
    <w:rsid w:val="00D457E2"/>
    <w:rsid w:val="00D46FF3"/>
    <w:rsid w:val="00D54432"/>
    <w:rsid w:val="00D575DA"/>
    <w:rsid w:val="00D619CB"/>
    <w:rsid w:val="00D62B6C"/>
    <w:rsid w:val="00D651CF"/>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34A9A"/>
    <w:rsid w:val="00E4280A"/>
    <w:rsid w:val="00E5088C"/>
    <w:rsid w:val="00E51A96"/>
    <w:rsid w:val="00E52F4E"/>
    <w:rsid w:val="00E537CA"/>
    <w:rsid w:val="00E562DE"/>
    <w:rsid w:val="00E6349D"/>
    <w:rsid w:val="00E657C3"/>
    <w:rsid w:val="00E717C7"/>
    <w:rsid w:val="00E82753"/>
    <w:rsid w:val="00E8277C"/>
    <w:rsid w:val="00E86E64"/>
    <w:rsid w:val="00E936B3"/>
    <w:rsid w:val="00EA2DA7"/>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A29BF"/>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49892331">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42822958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1812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CD37-A3F1-484A-8B8A-3560AAB87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5403</Words>
  <Characters>29720</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16</cp:revision>
  <cp:lastPrinted>2013-04-12T19:26:00Z</cp:lastPrinted>
  <dcterms:created xsi:type="dcterms:W3CDTF">2018-06-06T13:39:00Z</dcterms:created>
  <dcterms:modified xsi:type="dcterms:W3CDTF">2018-08-07T19:28:00Z</dcterms:modified>
</cp:coreProperties>
</file>