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90"/>
      </w:tblGrid>
      <w:tr w:rsidR="00DA2028" w:rsidRPr="0051063C" w:rsidTr="009A005D">
        <w:trPr>
          <w:cantSplit/>
          <w:trHeight w:val="1260"/>
        </w:trPr>
        <w:tc>
          <w:tcPr>
            <w:tcW w:w="9090" w:type="dxa"/>
            <w:tcBorders>
              <w:top w:val="nil"/>
            </w:tcBorders>
            <w:vAlign w:val="center"/>
          </w:tcPr>
          <w:p w:rsidR="00DA2028" w:rsidRPr="006C2637" w:rsidRDefault="00DA2028" w:rsidP="00BE0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s-CO"/>
              </w:rPr>
            </w:pPr>
            <w:bookmarkStart w:id="0" w:name="_Toc438266925"/>
            <w:bookmarkStart w:id="1" w:name="_Toc438267899"/>
            <w:bookmarkStart w:id="2" w:name="_Toc438366666"/>
            <w:bookmarkStart w:id="3" w:name="_Toc41971240"/>
            <w:bookmarkStart w:id="4" w:name="_Toc125954060"/>
            <w:bookmarkStart w:id="5" w:name="_Toc235075171"/>
            <w:r w:rsidRPr="006C2637">
              <w:rPr>
                <w:rFonts w:ascii="Times New Roman" w:eastAsia="Times New Roman" w:hAnsi="Times New Roman" w:cs="Times New Roman"/>
                <w:b/>
                <w:sz w:val="44"/>
                <w:szCs w:val="20"/>
                <w:lang w:val="es-CO"/>
              </w:rPr>
              <w:t xml:space="preserve">Sección III.  </w:t>
            </w:r>
            <w:r w:rsidRPr="006C2637">
              <w:rPr>
                <w:rFonts w:ascii="Times New Roman" w:eastAsia="Times New Roman" w:hAnsi="Times New Roman" w:cs="Times New Roman"/>
                <w:b/>
                <w:iCs/>
                <w:sz w:val="44"/>
                <w:szCs w:val="20"/>
                <w:lang w:val="es-CO"/>
              </w:rPr>
              <w:t>Criterios de Evaluación y Calificación</w:t>
            </w:r>
            <w:bookmarkStart w:id="6" w:name="_Toc41971241"/>
            <w:bookmarkEnd w:id="0"/>
            <w:bookmarkEnd w:id="1"/>
            <w:bookmarkEnd w:id="2"/>
            <w:bookmarkEnd w:id="3"/>
            <w:r w:rsidRPr="006C2637">
              <w:rPr>
                <w:rFonts w:ascii="Times New Roman" w:eastAsia="Times New Roman" w:hAnsi="Times New Roman" w:cs="Times New Roman"/>
                <w:b/>
                <w:iCs/>
                <w:sz w:val="44"/>
                <w:szCs w:val="20"/>
                <w:lang w:val="es-CO"/>
              </w:rPr>
              <w:br/>
            </w:r>
            <w:bookmarkEnd w:id="4"/>
            <w:bookmarkEnd w:id="5"/>
            <w:bookmarkEnd w:id="6"/>
          </w:p>
        </w:tc>
      </w:tr>
    </w:tbl>
    <w:p w:rsidR="00DA2028" w:rsidRPr="006C2637" w:rsidRDefault="00DA2028" w:rsidP="00DA2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bookmarkStart w:id="7" w:name="_Toc503874227"/>
      <w:bookmarkStart w:id="8" w:name="_Toc4390859"/>
      <w:bookmarkStart w:id="9" w:name="_Toc4405764"/>
    </w:p>
    <w:p w:rsidR="00703ECF" w:rsidRPr="006C2637" w:rsidRDefault="00DA2028" w:rsidP="00DA2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Esta Sección co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ntiene todos los criterios que la 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Con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vocante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deberá usar para evaluar las Ofertas y calificar a los 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Oferentes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. De conformidad con la </w:t>
      </w:r>
      <w:proofErr w:type="spellStart"/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Subcláusula</w:t>
      </w:r>
      <w:proofErr w:type="spellEnd"/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3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2.2 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de las IA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O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, no se usarán otros factores, métodos ni criterios. El </w:t>
      </w:r>
      <w:r w:rsidR="000E74FD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Oferente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proporcionará toda la información solicitada en los formularios que se incluyen en la Sección IV, Formularios de la Oferta.</w:t>
      </w:r>
      <w:bookmarkEnd w:id="7"/>
      <w:bookmarkEnd w:id="8"/>
      <w:bookmarkEnd w:id="9"/>
    </w:p>
    <w:p w:rsidR="00703ECF" w:rsidRPr="006C2637" w:rsidRDefault="00703ECF" w:rsidP="00DA2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</w:p>
    <w:p w:rsidR="00DA2028" w:rsidRPr="00DA2028" w:rsidRDefault="00703ECF" w:rsidP="00DA2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La Convocante se reserva el derecho a solicitar toda la documentación que considere necesaria para la comprobación de la información indicada en los formularios presentados por el Oferente</w:t>
      </w:r>
      <w:r w:rsidR="00F70A48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.</w:t>
      </w:r>
    </w:p>
    <w:p w:rsidR="00DA2028" w:rsidRPr="00DA2028" w:rsidRDefault="00DA2028" w:rsidP="00DA2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</w:p>
    <w:p w:rsidR="00DA2028" w:rsidRPr="006C2637" w:rsidRDefault="00DA2028" w:rsidP="00DA20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i/>
          <w:iCs/>
          <w:sz w:val="28"/>
          <w:szCs w:val="20"/>
          <w:lang w:val="es-CO"/>
        </w:rPr>
        <w:br w:type="page"/>
      </w:r>
      <w:r w:rsidRPr="00DA2028"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  <w:lastRenderedPageBreak/>
        <w:t xml:space="preserve">1. </w:t>
      </w:r>
      <w:r w:rsidRPr="00DA2028"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  <w:tab/>
      </w:r>
      <w:r w:rsidRPr="006C2637"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  <w:t>Evaluación</w:t>
      </w:r>
    </w:p>
    <w:p w:rsidR="00DA2028" w:rsidRPr="006C2637" w:rsidRDefault="00DA2028" w:rsidP="00DA20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s-CO"/>
        </w:rPr>
      </w:pPr>
    </w:p>
    <w:p w:rsidR="004E0264" w:rsidRPr="006C2637" w:rsidRDefault="004E0264" w:rsidP="00B0275C">
      <w:pPr>
        <w:spacing w:before="120" w:after="120" w:line="240" w:lineRule="auto"/>
        <w:ind w:left="1440" w:hanging="720"/>
        <w:rPr>
          <w:rFonts w:ascii="Times New Roman" w:eastAsia="Times New Roman" w:hAnsi="Times New Roman" w:cs="Times New Roman"/>
          <w:b/>
          <w:bCs/>
          <w:iCs/>
          <w:sz w:val="24"/>
          <w:szCs w:val="20"/>
          <w:lang w:val="es-CO"/>
        </w:rPr>
      </w:pPr>
      <w:r w:rsidRPr="006C2637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 xml:space="preserve">1.1  </w:t>
      </w:r>
      <w:r w:rsidRPr="006C2637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val="es-CO"/>
        </w:rPr>
        <w:t>Evaluación Económica</w:t>
      </w:r>
    </w:p>
    <w:p w:rsidR="00691B59" w:rsidRDefault="00691B59" w:rsidP="00691B59">
      <w:pPr>
        <w:pStyle w:val="Style1"/>
        <w:kinsoku w:val="0"/>
        <w:autoSpaceDE/>
        <w:autoSpaceDN/>
        <w:adjustRightInd/>
        <w:spacing w:before="120" w:after="120"/>
        <w:ind w:left="1276" w:right="1892"/>
        <w:rPr>
          <w:rStyle w:val="CharacterStyle1"/>
          <w:b/>
          <w:bCs/>
          <w:i/>
          <w:iCs/>
          <w:sz w:val="24"/>
          <w:szCs w:val="24"/>
          <w:lang w:val="es-ES" w:eastAsia="es-ES"/>
        </w:rPr>
      </w:pPr>
      <w:r w:rsidRPr="006352B9">
        <w:rPr>
          <w:rStyle w:val="CharacterStyle1"/>
          <w:b/>
          <w:bCs/>
          <w:i/>
          <w:iCs/>
          <w:sz w:val="24"/>
          <w:szCs w:val="24"/>
          <w:lang w:val="es-ES" w:eastAsia="es-ES"/>
        </w:rPr>
        <w:t>A</w:t>
      </w:r>
      <w:r>
        <w:rPr>
          <w:rStyle w:val="CharacterStyle1"/>
          <w:b/>
          <w:bCs/>
          <w:i/>
          <w:iCs/>
          <w:sz w:val="24"/>
          <w:szCs w:val="24"/>
          <w:lang w:val="es-ES" w:eastAsia="es-ES"/>
        </w:rPr>
        <w:t xml:space="preserve">juste de tarifa ofertada para comparación </w:t>
      </w:r>
    </w:p>
    <w:p w:rsidR="00691B59" w:rsidRDefault="00357DDB" w:rsidP="00691B59">
      <w:pPr>
        <w:pStyle w:val="Style1"/>
        <w:kinsoku w:val="0"/>
        <w:autoSpaceDE/>
        <w:autoSpaceDN/>
        <w:adjustRightInd/>
        <w:spacing w:before="120" w:after="120"/>
        <w:ind w:left="1276" w:right="1892"/>
        <w:rPr>
          <w:rStyle w:val="CharacterStyle1"/>
          <w:b/>
          <w:bCs/>
          <w:i/>
          <w:iCs/>
          <w:sz w:val="24"/>
          <w:szCs w:val="24"/>
          <w:lang w:val="es-PY"/>
        </w:rPr>
      </w:pPr>
      <w:r w:rsidRPr="006C2637">
        <w:rPr>
          <w:noProof/>
          <w:lang w:val="es-PY"/>
        </w:rPr>
        <w:drawing>
          <wp:inline distT="0" distB="0" distL="0" distR="0" wp14:anchorId="59E3B3EE" wp14:editId="0F7A9E7C">
            <wp:extent cx="5612130" cy="31742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59" w:rsidRPr="00C45FB3" w:rsidRDefault="00691B59" w:rsidP="00691B59">
      <w:pPr>
        <w:pStyle w:val="Style1"/>
        <w:kinsoku w:val="0"/>
        <w:autoSpaceDE/>
        <w:autoSpaceDN/>
        <w:adjustRightInd/>
        <w:spacing w:before="120" w:after="120"/>
        <w:ind w:left="1276" w:right="1892"/>
        <w:rPr>
          <w:rStyle w:val="CharacterStyle1"/>
          <w:bCs/>
          <w:i/>
          <w:iCs/>
          <w:sz w:val="24"/>
          <w:szCs w:val="24"/>
          <w:lang w:val="es-PY"/>
        </w:rPr>
      </w:pPr>
      <w:r w:rsidRPr="00C45FB3">
        <w:rPr>
          <w:rStyle w:val="CharacterStyle1"/>
          <w:bCs/>
          <w:i/>
          <w:iCs/>
          <w:sz w:val="24"/>
          <w:szCs w:val="24"/>
          <w:lang w:val="es-PY"/>
        </w:rPr>
        <w:t>Donde:</w:t>
      </w:r>
    </w:p>
    <w:p w:rsidR="00691B59" w:rsidRPr="006352B9" w:rsidRDefault="00691B59" w:rsidP="006C2637">
      <w:pPr>
        <w:pStyle w:val="Style1"/>
        <w:kinsoku w:val="0"/>
        <w:autoSpaceDE/>
        <w:autoSpaceDN/>
        <w:adjustRightInd/>
        <w:spacing w:before="120" w:after="120"/>
        <w:ind w:left="2124" w:right="49"/>
        <w:rPr>
          <w:rFonts w:eastAsia="Times New Roman"/>
          <w:sz w:val="24"/>
          <w:lang w:val="es-CO"/>
        </w:rPr>
      </w:pPr>
      <w:r w:rsidRPr="006352B9">
        <w:rPr>
          <w:rStyle w:val="CharacterStyle1"/>
          <w:b/>
          <w:bCs/>
          <w:i/>
          <w:iCs/>
          <w:sz w:val="24"/>
          <w:szCs w:val="24"/>
          <w:lang w:val="es-PY"/>
        </w:rPr>
        <w:t>T</w:t>
      </w:r>
      <w:r w:rsidRPr="006352B9">
        <w:rPr>
          <w:rStyle w:val="CharacterStyle1"/>
          <w:b/>
          <w:bCs/>
          <w:i/>
          <w:iCs/>
          <w:sz w:val="24"/>
          <w:szCs w:val="24"/>
          <w:vertAlign w:val="subscript"/>
          <w:lang w:val="es-PY"/>
        </w:rPr>
        <w:t>A</w:t>
      </w:r>
      <w:r w:rsidRPr="006352B9">
        <w:rPr>
          <w:rStyle w:val="CharacterStyle1"/>
          <w:b/>
          <w:bCs/>
          <w:i/>
          <w:iCs/>
          <w:sz w:val="24"/>
          <w:szCs w:val="24"/>
          <w:lang w:val="es-PY"/>
        </w:rPr>
        <w:t xml:space="preserve">: </w:t>
      </w:r>
      <w:r w:rsidRPr="006352B9">
        <w:rPr>
          <w:rStyle w:val="CharacterStyle1"/>
          <w:bCs/>
          <w:iCs/>
          <w:sz w:val="24"/>
          <w:szCs w:val="24"/>
          <w:lang w:val="es-PY"/>
        </w:rPr>
        <w:t>Tarifa ajustada para</w:t>
      </w:r>
      <w:r w:rsidR="00B04839">
        <w:rPr>
          <w:rFonts w:eastAsia="Times New Roman"/>
          <w:sz w:val="24"/>
          <w:lang w:val="es-CO"/>
        </w:rPr>
        <w:t xml:space="preserve"> comparación en USD/</w:t>
      </w:r>
      <w:r w:rsidRPr="006352B9">
        <w:rPr>
          <w:rFonts w:eastAsia="Times New Roman"/>
          <w:sz w:val="24"/>
          <w:lang w:val="es-CO"/>
        </w:rPr>
        <w:t>MWh</w:t>
      </w:r>
    </w:p>
    <w:p w:rsidR="00691B59" w:rsidRPr="006352B9" w:rsidRDefault="00691B59" w:rsidP="00691B59">
      <w:pPr>
        <w:spacing w:before="120" w:after="120" w:line="240" w:lineRule="auto"/>
        <w:ind w:left="2124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6352B9">
        <w:rPr>
          <w:rStyle w:val="CharacterStyle1"/>
          <w:rFonts w:eastAsiaTheme="minorEastAsia"/>
          <w:b/>
          <w:bCs/>
          <w:i/>
          <w:iCs/>
          <w:sz w:val="24"/>
          <w:szCs w:val="24"/>
          <w:lang w:eastAsia="es-PY"/>
        </w:rPr>
        <w:t>T</w:t>
      </w:r>
      <w:r w:rsidRPr="006352B9">
        <w:rPr>
          <w:rStyle w:val="CharacterStyle1"/>
          <w:rFonts w:eastAsiaTheme="minorEastAsia"/>
          <w:b/>
          <w:bCs/>
          <w:i/>
          <w:iCs/>
          <w:sz w:val="24"/>
          <w:szCs w:val="24"/>
          <w:vertAlign w:val="subscript"/>
          <w:lang w:eastAsia="es-PY"/>
        </w:rPr>
        <w:t>O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>: Tarifa ofertada en USD/MWh</w:t>
      </w:r>
    </w:p>
    <w:p w:rsidR="00691B59" w:rsidRPr="006352B9" w:rsidRDefault="00691B59" w:rsidP="00691B59">
      <w:pPr>
        <w:spacing w:before="120" w:after="120" w:line="240" w:lineRule="auto"/>
        <w:ind w:left="2124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proofErr w:type="spellStart"/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T</w:t>
      </w:r>
      <w:r w:rsidRPr="00C45FB3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on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CO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es-CO"/>
        </w:rPr>
        <w:t>x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año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: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>Toneladas anuales de</w:t>
      </w:r>
      <w:r w:rsidR="00C96242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</w:t>
      </w:r>
      <w:r w:rsidR="00D97930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óxido</w:t>
      </w:r>
      <w:r w:rsidR="00D97930">
        <w:rPr>
          <w:rFonts w:ascii="Times New Roman" w:eastAsia="Times New Roman" w:hAnsi="Times New Roman" w:cs="Times New Roman"/>
          <w:sz w:val="24"/>
          <w:szCs w:val="20"/>
          <w:lang w:val="es-CO"/>
        </w:rPr>
        <w:t>s</w:t>
      </w:r>
      <w:r w:rsidR="00D97930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de carbono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emitidas para la generación de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2.850 MWh de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>energía eléctrica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.</w:t>
      </w:r>
    </w:p>
    <w:p w:rsidR="00691B59" w:rsidRPr="006352B9" w:rsidRDefault="00691B59" w:rsidP="00691B59">
      <w:pPr>
        <w:spacing w:before="120" w:after="120" w:line="240" w:lineRule="auto"/>
        <w:ind w:left="2124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proofErr w:type="spellStart"/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T</w:t>
      </w:r>
      <w:r w:rsidRPr="00C45FB3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on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NO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es-CO"/>
        </w:rPr>
        <w:t>x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año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: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Toneladas anuales</w:t>
      </w:r>
      <w:r w:rsidR="00D97930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óxidos de nitrógeno</w:t>
      </w:r>
      <w:r w:rsidR="00C96242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es-CO"/>
        </w:rPr>
        <w:t xml:space="preserve">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de emitidas para la generación de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2.850 MWh de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>energía eléctrica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.</w:t>
      </w:r>
    </w:p>
    <w:p w:rsidR="00691B59" w:rsidRDefault="00691B59" w:rsidP="00691B59">
      <w:pPr>
        <w:spacing w:before="120" w:after="120" w:line="240" w:lineRule="auto"/>
        <w:ind w:left="2124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proofErr w:type="spellStart"/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T</w:t>
      </w:r>
      <w:r w:rsidRPr="00C45FB3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on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SO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es-CO"/>
        </w:rPr>
        <w:t>x</w:t>
      </w:r>
      <w:r w:rsidRPr="006352B9">
        <w:rPr>
          <w:rFonts w:ascii="Times New Roman" w:eastAsia="Times New Roman" w:hAnsi="Times New Roman" w:cs="Times New Roman"/>
          <w:b/>
          <w:i/>
          <w:sz w:val="24"/>
          <w:szCs w:val="20"/>
          <w:lang w:val="es-CO"/>
        </w:rPr>
        <w:t>año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: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Toneladas anuales</w:t>
      </w:r>
      <w:r w:rsidR="00D97930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óxidos de azufre</w:t>
      </w:r>
      <w:r w:rsidR="00C96242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es-CO"/>
        </w:rPr>
        <w:t xml:space="preserve">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de emitidas para la generación de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2.850 MWh de </w:t>
      </w:r>
      <w:r w:rsidRPr="006352B9">
        <w:rPr>
          <w:rFonts w:ascii="Times New Roman" w:eastAsia="Times New Roman" w:hAnsi="Times New Roman" w:cs="Times New Roman"/>
          <w:sz w:val="24"/>
          <w:szCs w:val="20"/>
          <w:lang w:val="es-CO"/>
        </w:rPr>
        <w:t>energía eléctrica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.</w:t>
      </w:r>
    </w:p>
    <w:p w:rsidR="00691B59" w:rsidRDefault="00691B59" w:rsidP="00691B59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</w:p>
    <w:p w:rsidR="00601975" w:rsidRDefault="00601975" w:rsidP="00691B59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El valor máximo aceptable por la ANDE de la Tarifa Ofertada (</w:t>
      </w:r>
      <w:proofErr w:type="spellStart"/>
      <w:r w:rsidRPr="006C2637">
        <w:rPr>
          <w:rFonts w:ascii="Times New Roman" w:eastAsia="Times New Roman" w:hAnsi="Times New Roman" w:cs="Times New Roman"/>
          <w:i/>
          <w:sz w:val="24"/>
          <w:szCs w:val="20"/>
          <w:lang w:val="es-CO"/>
        </w:rPr>
        <w:t>T</w:t>
      </w:r>
      <w:r w:rsidRPr="006C2637">
        <w:rPr>
          <w:rFonts w:ascii="Times New Roman" w:eastAsia="Times New Roman" w:hAnsi="Times New Roman" w:cs="Times New Roman"/>
          <w:i/>
          <w:sz w:val="24"/>
          <w:szCs w:val="20"/>
          <w:vertAlign w:val="subscript"/>
          <w:lang w:val="es-CO"/>
        </w:rPr>
        <w:t>o</w:t>
      </w:r>
      <w:proofErr w:type="spellEnd"/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) será de </w:t>
      </w:r>
      <w:r w:rsidR="00F42517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XXX</w:t>
      </w:r>
      <w:r w:rsidR="00873685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 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USD/MWh (</w:t>
      </w:r>
      <w:r w:rsidR="00F42517"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XXX</w:t>
      </w: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dólares de los estados unidos de américa por megavatio hora)</w:t>
      </w:r>
    </w:p>
    <w:p w:rsidR="00601975" w:rsidRDefault="00601975" w:rsidP="00691B59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</w:p>
    <w:p w:rsidR="00691B59" w:rsidRPr="00DA2028" w:rsidRDefault="00691B59" w:rsidP="00691B59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6C2637">
        <w:rPr>
          <w:rFonts w:ascii="Times New Roman" w:eastAsia="Times New Roman" w:hAnsi="Times New Roman" w:cs="Times New Roman"/>
          <w:sz w:val="24"/>
          <w:szCs w:val="20"/>
          <w:lang w:val="es-CO"/>
        </w:rPr>
        <w:t>Todo ajuste de precios resultante de aplicación de la formula anterior se agregará, solamente con fines de evaluación comparativa, para llegar a un “precio más conveniente”. Los precios de las ofertas que hayan cotizado los Oferentes permanecerán invariables.</w:t>
      </w:r>
    </w:p>
    <w:p w:rsidR="00691B59" w:rsidRDefault="00691B59" w:rsidP="00691B59">
      <w:pPr>
        <w:spacing w:before="120" w:after="120" w:line="240" w:lineRule="auto"/>
        <w:ind w:left="1276" w:right="-72"/>
        <w:jc w:val="both"/>
        <w:rPr>
          <w:rStyle w:val="CharacterStyle2"/>
          <w:rFonts w:ascii="Times New Roman" w:eastAsiaTheme="minorEastAsia" w:hAnsi="Times New Roman" w:cs="Times New Roman"/>
          <w:spacing w:val="-8"/>
          <w:w w:val="105"/>
          <w:sz w:val="24"/>
          <w:szCs w:val="24"/>
          <w:lang w:val="es-CO" w:eastAsia="es-ES"/>
        </w:rPr>
      </w:pPr>
    </w:p>
    <w:p w:rsidR="004E0264" w:rsidRPr="00DA2028" w:rsidRDefault="004E0264" w:rsidP="00C76060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>Criterios especiales adicionales</w:t>
      </w:r>
    </w:p>
    <w:p w:rsidR="004E0264" w:rsidRDefault="004E0264" w:rsidP="00C76060">
      <w:pPr>
        <w:spacing w:before="120" w:after="120" w:line="240" w:lineRule="auto"/>
        <w:ind w:left="1276" w:right="-72"/>
        <w:jc w:val="both"/>
        <w:rPr>
          <w:rFonts w:ascii="Times New Roman" w:eastAsia="Times New Roman" w:hAnsi="Times New Roman" w:cs="Times New Roman"/>
          <w:i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El método de evaluación pertinente, de haberlo, será el </w:t>
      </w:r>
      <w:proofErr w:type="spellStart"/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>siguiente</w:t>
      </w:r>
      <w:proofErr w:type="gramStart"/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0"/>
          <w:lang w:val="es-CO"/>
        </w:rPr>
        <w:t>N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4"/>
          <w:szCs w:val="20"/>
          <w:lang w:val="es-CO"/>
        </w:rPr>
        <w:t>/A</w:t>
      </w:r>
    </w:p>
    <w:p w:rsidR="004E0264" w:rsidRPr="00DA2028" w:rsidRDefault="004E0264" w:rsidP="00B0275C">
      <w:pPr>
        <w:pBdr>
          <w:bottom w:val="single" w:sz="12" w:space="0" w:color="auto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0"/>
          <w:lang w:val="es-CO"/>
        </w:rPr>
      </w:pPr>
    </w:p>
    <w:p w:rsidR="00DA2028" w:rsidRPr="004E0264" w:rsidRDefault="004E0264" w:rsidP="00B0275C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val="es-CO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 xml:space="preserve">1.2   </w:t>
      </w:r>
      <w:r w:rsidR="00DA2028" w:rsidRPr="004E0264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 xml:space="preserve">Evaluación Técnica </w:t>
      </w:r>
    </w:p>
    <w:p w:rsidR="00960D2D" w:rsidRDefault="00960D2D" w:rsidP="00C76060">
      <w:pPr>
        <w:spacing w:before="120" w:after="12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Se evaluará la Propuesta Técnica del Oferente presentada conforme a la Cláusula 15 de las IAO para verificar si sus aspectos técnicos se ajustan a lo estipulado en el Documento de Licitación.</w:t>
      </w:r>
    </w:p>
    <w:p w:rsidR="00BE023A" w:rsidRDefault="00960D2D" w:rsidP="00C76060">
      <w:pPr>
        <w:spacing w:before="120" w:after="12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Las </w:t>
      </w:r>
      <w:r w:rsidR="00972DEE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propuestas 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que no cumplan los criterios mínimos aceptables de integridad, coherencia y detalle, ni los requisitos dispuestos </w:t>
      </w:r>
      <w:r w:rsidR="00787FF1"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en </w:t>
      </w:r>
      <w:r w:rsidR="00C57091"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>la Sección V. Alcance de las Obras</w:t>
      </w:r>
      <w:r w:rsidR="00787FF1"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s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>erán rechazadas por falta de conformidad. Par</w:t>
      </w:r>
      <w:r w:rsidR="00280857">
        <w:rPr>
          <w:rFonts w:ascii="Times New Roman" w:eastAsia="Times New Roman" w:hAnsi="Times New Roman" w:cs="Times New Roman"/>
          <w:sz w:val="24"/>
          <w:szCs w:val="20"/>
          <w:lang w:val="es-CO"/>
        </w:rPr>
        <w:t>a llegar a esa determinación, la Convocante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examinará y comparará los aspectos técnicos de 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lastRenderedPageBreak/>
        <w:t xml:space="preserve">las </w:t>
      </w:r>
      <w:r w:rsidR="00972DEE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propuestas 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sobre la base de la información proporcionada por los </w:t>
      </w:r>
      <w:r w:rsidR="00787FF1"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>Oferentes</w:t>
      </w:r>
      <w:r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>, tomando en cuenta</w:t>
      </w:r>
      <w:r w:rsidR="00BE023A" w:rsidRPr="00415F1A">
        <w:rPr>
          <w:rFonts w:ascii="Times New Roman" w:eastAsia="Times New Roman" w:hAnsi="Times New Roman" w:cs="Times New Roman"/>
          <w:sz w:val="24"/>
          <w:szCs w:val="20"/>
          <w:lang w:val="es-CO"/>
        </w:rPr>
        <w:t>;</w:t>
      </w:r>
    </w:p>
    <w:p w:rsidR="00BE023A" w:rsidRDefault="00960D2D" w:rsidP="00C76060">
      <w:pPr>
        <w:pStyle w:val="Prrafodelista"/>
        <w:numPr>
          <w:ilvl w:val="0"/>
          <w:numId w:val="3"/>
        </w:numPr>
        <w:spacing w:before="120" w:after="120" w:line="240" w:lineRule="auto"/>
        <w:ind w:left="1701" w:hanging="425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la integridad general </w:t>
      </w:r>
      <w:r w:rsidR="00280857">
        <w:rPr>
          <w:rFonts w:ascii="Times New Roman" w:eastAsia="Times New Roman" w:hAnsi="Times New Roman" w:cs="Times New Roman"/>
          <w:sz w:val="24"/>
          <w:szCs w:val="20"/>
          <w:lang w:val="es-CO"/>
        </w:rPr>
        <w:t>del Estudio Básico</w:t>
      </w:r>
      <w:r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y su grado de cumplimiento </w:t>
      </w:r>
      <w:r w:rsidR="00522B93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con requerimientos de la </w:t>
      </w:r>
      <w:r w:rsidR="00280857">
        <w:rPr>
          <w:rFonts w:ascii="Times New Roman" w:eastAsia="Times New Roman" w:hAnsi="Times New Roman" w:cs="Times New Roman"/>
          <w:sz w:val="24"/>
          <w:szCs w:val="20"/>
          <w:lang w:val="es-CO"/>
        </w:rPr>
        <w:t>Convocante</w:t>
      </w:r>
      <w:r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>; la conformidad de la</w:t>
      </w:r>
      <w:r w:rsidR="00BE023A"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s </w:t>
      </w:r>
      <w:r w:rsidR="007836CB">
        <w:rPr>
          <w:rFonts w:ascii="Times New Roman" w:eastAsia="Times New Roman" w:hAnsi="Times New Roman" w:cs="Times New Roman"/>
          <w:sz w:val="24"/>
          <w:szCs w:val="20"/>
          <w:lang w:val="es-CO"/>
        </w:rPr>
        <w:t>i</w:t>
      </w:r>
      <w:r w:rsidR="00BE023A"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>nstalaciones ofertadas</w:t>
      </w:r>
      <w:r w:rsidR="00377E05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con los requerimientos indicados </w:t>
      </w:r>
      <w:r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>en la</w:t>
      </w:r>
      <w:r w:rsidR="00E14941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Sección V. Alcance de las Obras</w:t>
      </w:r>
      <w:r w:rsidR="00972DEE">
        <w:rPr>
          <w:rFonts w:ascii="Times New Roman" w:eastAsia="Times New Roman" w:hAnsi="Times New Roman" w:cs="Times New Roman"/>
          <w:sz w:val="24"/>
          <w:szCs w:val="20"/>
          <w:lang w:val="es-CO"/>
        </w:rPr>
        <w:t>;</w:t>
      </w:r>
    </w:p>
    <w:p w:rsidR="003A6686" w:rsidRPr="00BE023A" w:rsidRDefault="003A6686" w:rsidP="00C76060">
      <w:pPr>
        <w:pStyle w:val="Prrafodelista"/>
        <w:numPr>
          <w:ilvl w:val="0"/>
          <w:numId w:val="3"/>
        </w:numPr>
        <w:spacing w:before="120" w:after="120" w:line="240" w:lineRule="auto"/>
        <w:ind w:left="1701" w:hanging="425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la información </w:t>
      </w:r>
      <w:r w:rsidR="00AB24BC">
        <w:rPr>
          <w:rFonts w:ascii="Times New Roman" w:eastAsia="Times New Roman" w:hAnsi="Times New Roman" w:cs="Times New Roman"/>
          <w:sz w:val="24"/>
          <w:szCs w:val="20"/>
          <w:lang w:val="es-CO"/>
        </w:rPr>
        <w:t>prevista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en el Formulario de Datos Garantizados;</w:t>
      </w:r>
    </w:p>
    <w:p w:rsidR="00BE023A" w:rsidRPr="00BE023A" w:rsidRDefault="00377E05" w:rsidP="00C76060">
      <w:pPr>
        <w:pStyle w:val="Prrafodelista"/>
        <w:numPr>
          <w:ilvl w:val="0"/>
          <w:numId w:val="3"/>
        </w:numPr>
        <w:spacing w:before="120" w:after="120" w:line="240" w:lineRule="auto"/>
        <w:ind w:left="1701" w:hanging="425"/>
        <w:jc w:val="both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los </w:t>
      </w:r>
      <w:r w:rsidR="00522B93">
        <w:rPr>
          <w:rFonts w:ascii="Times New Roman" w:eastAsia="Times New Roman" w:hAnsi="Times New Roman" w:cs="Times New Roman"/>
          <w:sz w:val="24"/>
          <w:szCs w:val="20"/>
          <w:lang w:val="es-CO"/>
        </w:rPr>
        <w:t>e</w:t>
      </w:r>
      <w:r w:rsidR="00BE023A" w:rsidRPr="00BE023A">
        <w:rPr>
          <w:rFonts w:ascii="Times New Roman" w:eastAsia="Times New Roman" w:hAnsi="Times New Roman" w:cs="Times New Roman"/>
          <w:sz w:val="24"/>
          <w:szCs w:val="20"/>
          <w:lang w:val="es-CO"/>
        </w:rPr>
        <w:t>studios socioeconómicos y ambientales</w:t>
      </w:r>
      <w:r w:rsidR="00972DEE">
        <w:rPr>
          <w:rFonts w:ascii="Times New Roman" w:eastAsia="Times New Roman" w:hAnsi="Times New Roman" w:cs="Times New Roman"/>
          <w:sz w:val="24"/>
          <w:szCs w:val="20"/>
          <w:lang w:val="es-CO"/>
        </w:rPr>
        <w:t>.</w:t>
      </w:r>
    </w:p>
    <w:p w:rsidR="00DA2028" w:rsidRPr="00DA2028" w:rsidRDefault="00DA2028" w:rsidP="00B0275C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0"/>
          <w:lang w:val="es-CO"/>
        </w:rPr>
      </w:pPr>
    </w:p>
    <w:p w:rsidR="00DA2028" w:rsidRPr="00DA2028" w:rsidRDefault="00DA2028" w:rsidP="00DA2028">
      <w:pPr>
        <w:spacing w:line="240" w:lineRule="auto"/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sz w:val="28"/>
          <w:szCs w:val="20"/>
          <w:lang w:val="es-CO"/>
        </w:rPr>
        <w:t>2.</w:t>
      </w:r>
      <w:r w:rsidRPr="00DA2028">
        <w:rPr>
          <w:rFonts w:ascii="Times New Roman" w:eastAsia="Times New Roman" w:hAnsi="Times New Roman" w:cs="Times New Roman"/>
          <w:b/>
          <w:sz w:val="28"/>
          <w:szCs w:val="20"/>
          <w:lang w:val="es-CO"/>
        </w:rPr>
        <w:tab/>
      </w:r>
      <w:r w:rsidRPr="00DA2028">
        <w:rPr>
          <w:rFonts w:ascii="Times New Roman" w:eastAsia="Times New Roman" w:hAnsi="Times New Roman" w:cs="Times New Roman"/>
          <w:b/>
          <w:iCs/>
          <w:sz w:val="28"/>
          <w:szCs w:val="20"/>
          <w:lang w:val="es-CO"/>
        </w:rPr>
        <w:t xml:space="preserve">Calificación </w:t>
      </w:r>
    </w:p>
    <w:p w:rsidR="00DA2028" w:rsidRPr="00DA2028" w:rsidRDefault="00DA2028" w:rsidP="00DA2028">
      <w:pPr>
        <w:spacing w:line="240" w:lineRule="auto"/>
        <w:ind w:left="1440" w:hanging="720"/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2.1</w:t>
      </w:r>
      <w:r w:rsidRPr="00DA2028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ab/>
        <w:t>Actualización de i</w:t>
      </w:r>
      <w:r w:rsidRPr="00DA2028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nformación</w:t>
      </w:r>
    </w:p>
    <w:p w:rsidR="00DA2028" w:rsidRPr="00DA2028" w:rsidRDefault="00DA2028" w:rsidP="00DA2028">
      <w:pPr>
        <w:spacing w:line="240" w:lineRule="auto"/>
        <w:ind w:left="1440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El </w:t>
      </w:r>
      <w:r w:rsidR="001066A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Oferente</w:t>
      </w:r>
      <w:r w:rsidR="009920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y sus subcontratistas</w:t>
      </w: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deberá cumplir o seguir cumpliendo los criterios aplicados en el momento de la precalificación. </w:t>
      </w:r>
    </w:p>
    <w:p w:rsidR="00DA2028" w:rsidRPr="00DA2028" w:rsidRDefault="00DA2028" w:rsidP="00DA2028">
      <w:pPr>
        <w:spacing w:line="240" w:lineRule="auto"/>
        <w:ind w:left="1440" w:hanging="720"/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2.2</w:t>
      </w:r>
      <w:r w:rsidRPr="00DA2028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ab/>
      </w:r>
      <w:r w:rsidRPr="00DA2028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val="es-CO"/>
        </w:rPr>
        <w:t>Recursos financieros</w:t>
      </w:r>
    </w:p>
    <w:p w:rsidR="006B534E" w:rsidRPr="006B534E" w:rsidRDefault="00DA2028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Mediante el uso del formulario No. FIN 3.3 en la Sección IV, Formularios de la Oferta, el </w:t>
      </w:r>
      <w:r w:rsidR="00656395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Oferente</w:t>
      </w: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deberá demostrar </w:t>
      </w:r>
      <w:r w:rsidR="006B534E"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que posee o que tiene acceso a suficientes activos líquidos, activos reales libres de gravámenes, líneas de crédito y otros medios financieros (independientemente de cualquier anticipo estipulado en el contrato) para cumplir los requisitos en materia de flujo de fond</w:t>
      </w:r>
      <w:r w:rsidR="00086C31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os para la construcción exigida</w:t>
      </w:r>
      <w:r w:rsidR="006B534E"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para el contrato en caso de suspensión,  reanudación de faenas u otros retrasos</w:t>
      </w:r>
      <w:r w:rsidR="003A6686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.</w:t>
      </w:r>
    </w:p>
    <w:p w:rsidR="006B534E" w:rsidRPr="006B534E" w:rsidRDefault="006B534E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El mínimo de activos líquidos y/o acceso a créditos libres de otros </w:t>
      </w:r>
      <w:r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compromisos contractuales del adjudicatario será </w:t>
      </w:r>
      <w:r w:rsidR="00086C31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por un valor de </w:t>
      </w:r>
      <w:r w:rsidR="000171D5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USD</w:t>
      </w:r>
      <w:r w:rsidR="00F42517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 </w:t>
      </w:r>
      <w:r w:rsidR="000171D5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1</w:t>
      </w:r>
      <w:r w:rsidR="00086C31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.</w:t>
      </w:r>
      <w:r w:rsidR="000171D5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5</w:t>
      </w:r>
      <w:r w:rsidR="00086C31"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00.000. </w:t>
      </w:r>
      <w:r w:rsidRPr="006C2637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Este mínimo</w:t>
      </w:r>
      <w:r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 activos líquidos  constituirá el capital operativo.</w:t>
      </w:r>
    </w:p>
    <w:p w:rsidR="006B534E" w:rsidRPr="006B534E" w:rsidRDefault="006B534E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Las deducciones al flujo de fondos exigidos por compromisos derivados de otros contratos solo se harán cuando dichos contratos se encuentren en ejecución.</w:t>
      </w:r>
    </w:p>
    <w:p w:rsidR="006B534E" w:rsidRPr="006B534E" w:rsidRDefault="006B534E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Cuando los Oferentes sean empresas subsidiarias de otra empresa, los Estados Financieros presentados deberán reflejar la situación financiera de los mismos y no de la matriz o del grupo de empresas a la cual pertenecen.</w:t>
      </w:r>
    </w:p>
    <w:p w:rsidR="00112552" w:rsidRDefault="006B534E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6B534E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Cuando el Oferente sea una Matriz o Grupo, deberán presentar Estados Financieros Consolidados, que incluya la información de todas las subsidiarias, sean nacionales o extranjeras. </w:t>
      </w:r>
    </w:p>
    <w:p w:rsidR="00DA2028" w:rsidRPr="00DA2028" w:rsidRDefault="00DA2028" w:rsidP="006B534E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8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>2.3</w:t>
      </w:r>
      <w:r w:rsidRPr="00DA2028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ab/>
      </w:r>
      <w:r w:rsidRPr="00DA2028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Personal</w:t>
      </w:r>
    </w:p>
    <w:p w:rsidR="00DA2028" w:rsidRPr="00DA2028" w:rsidRDefault="00DA2028" w:rsidP="00DA2028">
      <w:pPr>
        <w:tabs>
          <w:tab w:val="right" w:pos="7254"/>
        </w:tabs>
        <w:spacing w:line="240" w:lineRule="auto"/>
        <w:ind w:left="1440" w:hanging="720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ab/>
        <w:t xml:space="preserve">El </w:t>
      </w:r>
      <w:r w:rsidR="00656395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Oferente</w:t>
      </w: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deberá demostrar que cuenta con </w:t>
      </w:r>
      <w:r w:rsidR="00EF031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profesionales ingenieros para </w:t>
      </w: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desempeñar los cargos clave de acuerdo con los siguientes requisitos: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3777"/>
        <w:gridCol w:w="1564"/>
        <w:gridCol w:w="1594"/>
      </w:tblGrid>
      <w:tr w:rsidR="00DA2028" w:rsidRPr="00DA2028" w:rsidTr="00656395">
        <w:trPr>
          <w:cantSplit/>
        </w:trPr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2028" w:rsidRPr="00DA2028" w:rsidRDefault="00DA2028" w:rsidP="00DA202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s-CO"/>
              </w:rPr>
            </w:pPr>
            <w:r w:rsidRPr="00DA20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s-CO"/>
              </w:rPr>
              <w:lastRenderedPageBreak/>
              <w:t>No.</w:t>
            </w:r>
          </w:p>
        </w:tc>
        <w:tc>
          <w:tcPr>
            <w:tcW w:w="3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2028" w:rsidRPr="00DA2028" w:rsidRDefault="00DA2028" w:rsidP="00DA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</w:pPr>
            <w:r w:rsidRPr="00DA202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  <w:t>Cargo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2028" w:rsidRPr="00DA2028" w:rsidRDefault="00DA2028" w:rsidP="00DA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</w:pPr>
            <w:r w:rsidRPr="00DA202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  <w:t>Experiencia Total en obras Similares (años)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2028" w:rsidRPr="00DA2028" w:rsidRDefault="00DA2028" w:rsidP="00DA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</w:pPr>
            <w:r w:rsidRPr="00DA202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  <w:t>Experiencia en Obras Similares</w:t>
            </w:r>
          </w:p>
          <w:p w:rsidR="00DA2028" w:rsidRPr="00DA2028" w:rsidRDefault="00DA2028" w:rsidP="00DA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</w:pPr>
            <w:r w:rsidRPr="00DA202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s-CO"/>
              </w:rPr>
              <w:t>(años)</w:t>
            </w:r>
          </w:p>
        </w:tc>
      </w:tr>
      <w:tr w:rsidR="001110EF" w:rsidRPr="00DA2028" w:rsidTr="001110EF"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:rsidR="001110EF" w:rsidRPr="001110EF" w:rsidRDefault="001110EF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1</w:t>
            </w:r>
          </w:p>
        </w:tc>
        <w:tc>
          <w:tcPr>
            <w:tcW w:w="3777" w:type="dxa"/>
            <w:tcBorders>
              <w:top w:val="single" w:sz="12" w:space="0" w:color="auto"/>
            </w:tcBorders>
          </w:tcPr>
          <w:p w:rsidR="001110EF" w:rsidRPr="001110EF" w:rsidRDefault="001110EF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Director General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:rsidR="001110EF" w:rsidRPr="006C2637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5</w:t>
            </w:r>
          </w:p>
        </w:tc>
        <w:tc>
          <w:tcPr>
            <w:tcW w:w="1594" w:type="dxa"/>
            <w:tcBorders>
              <w:top w:val="single" w:sz="12" w:space="0" w:color="auto"/>
            </w:tcBorders>
            <w:vAlign w:val="center"/>
          </w:tcPr>
          <w:p w:rsidR="001110EF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  <w:bookmarkStart w:id="10" w:name="_GoBack"/>
            <w:bookmarkEnd w:id="10"/>
          </w:p>
        </w:tc>
      </w:tr>
      <w:tr w:rsidR="00AB24BC" w:rsidRPr="00DA2028" w:rsidTr="001110EF">
        <w:tc>
          <w:tcPr>
            <w:tcW w:w="571" w:type="dxa"/>
            <w:vAlign w:val="center"/>
          </w:tcPr>
          <w:p w:rsidR="00AB24BC" w:rsidRPr="001110EF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  <w:tc>
          <w:tcPr>
            <w:tcW w:w="3777" w:type="dxa"/>
          </w:tcPr>
          <w:p w:rsidR="00AB24BC" w:rsidRPr="001110EF" w:rsidRDefault="00AB24BC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Jefe de Elaboración de Proyecto</w:t>
            </w:r>
          </w:p>
        </w:tc>
        <w:tc>
          <w:tcPr>
            <w:tcW w:w="1564" w:type="dxa"/>
            <w:vAlign w:val="center"/>
          </w:tcPr>
          <w:p w:rsidR="00AB24BC" w:rsidRPr="006C2637" w:rsidRDefault="00C17C48" w:rsidP="00AD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1594" w:type="dxa"/>
            <w:vAlign w:val="center"/>
          </w:tcPr>
          <w:p w:rsidR="00AB24BC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</w:tr>
      <w:tr w:rsidR="00AB24BC" w:rsidRPr="00DA2028" w:rsidTr="001110EF">
        <w:tc>
          <w:tcPr>
            <w:tcW w:w="571" w:type="dxa"/>
            <w:vAlign w:val="center"/>
          </w:tcPr>
          <w:p w:rsidR="00AB24BC" w:rsidRPr="001110EF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3777" w:type="dxa"/>
          </w:tcPr>
          <w:p w:rsidR="00AB24BC" w:rsidRPr="001110EF" w:rsidRDefault="00AB24BC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Jefe de Obras Electromecánicas</w:t>
            </w:r>
          </w:p>
        </w:tc>
        <w:tc>
          <w:tcPr>
            <w:tcW w:w="1564" w:type="dxa"/>
            <w:vAlign w:val="center"/>
          </w:tcPr>
          <w:p w:rsidR="00AB24BC" w:rsidRPr="006C2637" w:rsidRDefault="00C17C48" w:rsidP="00AD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1594" w:type="dxa"/>
            <w:vAlign w:val="center"/>
          </w:tcPr>
          <w:p w:rsidR="00AB24BC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</w:tr>
      <w:tr w:rsidR="00AB24BC" w:rsidRPr="00DA2028" w:rsidTr="001110EF">
        <w:tc>
          <w:tcPr>
            <w:tcW w:w="571" w:type="dxa"/>
            <w:vAlign w:val="center"/>
          </w:tcPr>
          <w:p w:rsidR="00AB24BC" w:rsidRPr="001110EF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4</w:t>
            </w:r>
          </w:p>
        </w:tc>
        <w:tc>
          <w:tcPr>
            <w:tcW w:w="3777" w:type="dxa"/>
          </w:tcPr>
          <w:p w:rsidR="00AB24BC" w:rsidRPr="001110EF" w:rsidRDefault="00AB24BC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Jefe de Obras Eléctricas</w:t>
            </w:r>
          </w:p>
        </w:tc>
        <w:tc>
          <w:tcPr>
            <w:tcW w:w="1564" w:type="dxa"/>
            <w:vAlign w:val="center"/>
          </w:tcPr>
          <w:p w:rsidR="00AB24BC" w:rsidRPr="006C2637" w:rsidRDefault="00C17C48" w:rsidP="00AD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1594" w:type="dxa"/>
            <w:vAlign w:val="center"/>
          </w:tcPr>
          <w:p w:rsidR="00AB24BC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</w:tr>
      <w:tr w:rsidR="00AB24BC" w:rsidRPr="00DA2028" w:rsidTr="001110EF">
        <w:tc>
          <w:tcPr>
            <w:tcW w:w="571" w:type="dxa"/>
            <w:vAlign w:val="center"/>
          </w:tcPr>
          <w:p w:rsidR="00AB24BC" w:rsidRPr="001110EF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5</w:t>
            </w:r>
          </w:p>
        </w:tc>
        <w:tc>
          <w:tcPr>
            <w:tcW w:w="3777" w:type="dxa"/>
          </w:tcPr>
          <w:p w:rsidR="00AB24BC" w:rsidRPr="001110EF" w:rsidRDefault="00AB24BC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Jefe de Obras Civiles</w:t>
            </w:r>
          </w:p>
        </w:tc>
        <w:tc>
          <w:tcPr>
            <w:tcW w:w="1564" w:type="dxa"/>
            <w:vAlign w:val="center"/>
          </w:tcPr>
          <w:p w:rsidR="00AB24BC" w:rsidRPr="006C2637" w:rsidRDefault="00C17C48" w:rsidP="00AD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1594" w:type="dxa"/>
            <w:vAlign w:val="center"/>
          </w:tcPr>
          <w:p w:rsidR="00AB24BC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</w:tr>
      <w:tr w:rsidR="00AB24BC" w:rsidRPr="00DA2028" w:rsidTr="001110EF">
        <w:tc>
          <w:tcPr>
            <w:tcW w:w="571" w:type="dxa"/>
            <w:vAlign w:val="center"/>
          </w:tcPr>
          <w:p w:rsidR="00AB24BC" w:rsidRPr="001110EF" w:rsidRDefault="00AB24BC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6</w:t>
            </w:r>
          </w:p>
        </w:tc>
        <w:tc>
          <w:tcPr>
            <w:tcW w:w="3777" w:type="dxa"/>
          </w:tcPr>
          <w:p w:rsidR="00AB24BC" w:rsidRPr="001110EF" w:rsidRDefault="00AB24BC" w:rsidP="001110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1110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Jefe de Puesta en Servicio de las Instalaciones</w:t>
            </w:r>
          </w:p>
        </w:tc>
        <w:tc>
          <w:tcPr>
            <w:tcW w:w="1564" w:type="dxa"/>
            <w:vAlign w:val="center"/>
          </w:tcPr>
          <w:p w:rsidR="00AB24BC" w:rsidRPr="006C2637" w:rsidRDefault="00C17C48" w:rsidP="00AD3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 w:rsidRPr="006C26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3</w:t>
            </w:r>
          </w:p>
        </w:tc>
        <w:tc>
          <w:tcPr>
            <w:tcW w:w="1594" w:type="dxa"/>
            <w:vAlign w:val="center"/>
          </w:tcPr>
          <w:p w:rsidR="00AB24BC" w:rsidRPr="006C2637" w:rsidRDefault="006C2637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2</w:t>
            </w:r>
          </w:p>
        </w:tc>
      </w:tr>
      <w:tr w:rsidR="00112552" w:rsidRPr="00DA2028" w:rsidTr="00656395">
        <w:tc>
          <w:tcPr>
            <w:tcW w:w="571" w:type="dxa"/>
          </w:tcPr>
          <w:p w:rsidR="00112552" w:rsidRPr="00DA2028" w:rsidRDefault="00112552" w:rsidP="00DA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</w:p>
        </w:tc>
        <w:tc>
          <w:tcPr>
            <w:tcW w:w="3777" w:type="dxa"/>
          </w:tcPr>
          <w:p w:rsidR="00112552" w:rsidRDefault="00EF0318" w:rsidP="00EF0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>Obs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  <w:t xml:space="preserve">: Los profesionales propuestos para los cargos citados deberán ser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val="es-CO"/>
              </w:rPr>
              <w:t>deberán ser profesionales ingenieros.</w:t>
            </w:r>
          </w:p>
        </w:tc>
        <w:tc>
          <w:tcPr>
            <w:tcW w:w="1564" w:type="dxa"/>
          </w:tcPr>
          <w:p w:rsidR="00112552" w:rsidRPr="00DA2028" w:rsidRDefault="00112552" w:rsidP="00DA2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val="es-CO"/>
              </w:rPr>
            </w:pPr>
          </w:p>
        </w:tc>
        <w:tc>
          <w:tcPr>
            <w:tcW w:w="1594" w:type="dxa"/>
          </w:tcPr>
          <w:p w:rsidR="00112552" w:rsidRPr="001110EF" w:rsidRDefault="00112552" w:rsidP="0011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s-CO"/>
              </w:rPr>
            </w:pPr>
          </w:p>
        </w:tc>
      </w:tr>
    </w:tbl>
    <w:p w:rsidR="00DA2028" w:rsidRPr="00DA2028" w:rsidRDefault="00DA2028" w:rsidP="00DA2028">
      <w:pPr>
        <w:tabs>
          <w:tab w:val="left" w:pos="432"/>
          <w:tab w:val="left" w:pos="2952"/>
          <w:tab w:val="left" w:pos="583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val="es-CO"/>
        </w:rPr>
      </w:pPr>
    </w:p>
    <w:p w:rsidR="00DA2028" w:rsidRPr="00DA2028" w:rsidRDefault="00DA2028" w:rsidP="00DA2028">
      <w:pPr>
        <w:spacing w:line="240" w:lineRule="auto"/>
        <w:ind w:left="1440"/>
        <w:jc w:val="both"/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</w:pP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El </w:t>
      </w:r>
      <w:r w:rsidR="00656395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>Oferente</w:t>
      </w:r>
      <w:r w:rsidRPr="00DA2028">
        <w:rPr>
          <w:rFonts w:ascii="Times New Roman" w:eastAsia="Times New Roman" w:hAnsi="Times New Roman" w:cs="Times New Roman"/>
          <w:iCs/>
          <w:sz w:val="24"/>
          <w:szCs w:val="20"/>
          <w:lang w:val="es-CO"/>
        </w:rPr>
        <w:t xml:space="preserve"> deberá proporcionar datos detallados sobre el personal propuesto y su experiencia en los correspondientes formularios de información que se incluyen en la Sección IV, Formularios de la Oferta.</w:t>
      </w:r>
    </w:p>
    <w:p w:rsidR="009C05CD" w:rsidRDefault="00734322" w:rsidP="006C2637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val="es-CO"/>
        </w:rPr>
      </w:pPr>
      <w:r w:rsidRPr="00734322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2.</w:t>
      </w:r>
      <w:r w:rsidR="00691B59">
        <w:rPr>
          <w:rFonts w:ascii="Times New Roman" w:eastAsia="Times New Roman" w:hAnsi="Times New Roman" w:cs="Times New Roman"/>
          <w:b/>
          <w:iCs/>
          <w:sz w:val="24"/>
          <w:szCs w:val="20"/>
          <w:lang w:val="es-CO"/>
        </w:rPr>
        <w:t>4</w:t>
      </w:r>
      <w:r>
        <w:rPr>
          <w:b/>
          <w:szCs w:val="20"/>
          <w:lang w:val="es-CO"/>
        </w:rPr>
        <w:t>.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>F</w:t>
      </w:r>
      <w:r w:rsidRPr="00DA2028">
        <w:rPr>
          <w:rFonts w:ascii="Times New Roman" w:eastAsia="Times New Roman" w:hAnsi="Times New Roman" w:cs="Times New Roman"/>
          <w:b/>
          <w:sz w:val="24"/>
          <w:szCs w:val="20"/>
          <w:lang w:val="es-CO"/>
        </w:rPr>
        <w:t>abricantes</w:t>
      </w:r>
    </w:p>
    <w:p w:rsidR="00E72039" w:rsidRPr="00DA2028" w:rsidRDefault="00734322" w:rsidP="00E91297">
      <w:pPr>
        <w:spacing w:after="0" w:line="240" w:lineRule="auto"/>
        <w:ind w:left="1440" w:right="-72"/>
        <w:jc w:val="both"/>
        <w:rPr>
          <w:lang w:val="es-CO"/>
        </w:rPr>
      </w:pP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En el caso de un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Oferente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que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haya propuesto 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proveer e instalar elementos importantes de suministro que no haya fabricado ni producido deberá presentar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a través del 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formulario que se incluye en la Sección IV, la correspondiente autorización del fabricante, en la que se demuestre que el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Oferente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 ha sido debidamente autorizado por el fabricante o productor de la planta y equipo o componente en cuestión para suministrar y/o instalar ese elemento en </w:t>
      </w:r>
      <w:r>
        <w:rPr>
          <w:rFonts w:ascii="Times New Roman" w:eastAsia="Times New Roman" w:hAnsi="Times New Roman" w:cs="Times New Roman"/>
          <w:sz w:val="24"/>
          <w:szCs w:val="20"/>
          <w:lang w:val="es-CO"/>
        </w:rPr>
        <w:t>la República del Paraguay</w:t>
      </w:r>
      <w:r w:rsidRPr="00DA2028">
        <w:rPr>
          <w:rFonts w:ascii="Times New Roman" w:eastAsia="Times New Roman" w:hAnsi="Times New Roman" w:cs="Times New Roman"/>
          <w:sz w:val="24"/>
          <w:szCs w:val="20"/>
          <w:lang w:val="es-CO"/>
        </w:rPr>
        <w:t xml:space="preserve">. </w:t>
      </w:r>
    </w:p>
    <w:sectPr w:rsidR="00E72039" w:rsidRPr="00DA2028" w:rsidSect="0097581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9C" w:rsidRDefault="00FC6A9C" w:rsidP="00BA5090">
      <w:pPr>
        <w:spacing w:after="0" w:line="240" w:lineRule="auto"/>
      </w:pPr>
      <w:r>
        <w:separator/>
      </w:r>
    </w:p>
  </w:endnote>
  <w:endnote w:type="continuationSeparator" w:id="0">
    <w:p w:rsidR="00FC6A9C" w:rsidRDefault="00FC6A9C" w:rsidP="00BA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54" w:rsidRPr="002B4554" w:rsidRDefault="002B4554" w:rsidP="002B4554">
    <w:pPr>
      <w:pStyle w:val="Piedepgina"/>
      <w:pBdr>
        <w:top w:val="single" w:sz="4" w:space="1" w:color="auto"/>
      </w:pBdr>
      <w:rPr>
        <w:rFonts w:ascii="Times New Roman" w:hAnsi="Times New Roman"/>
        <w:sz w:val="20"/>
        <w:szCs w:val="20"/>
      </w:rPr>
    </w:pPr>
    <w:r w:rsidRPr="002B4554">
      <w:rPr>
        <w:rFonts w:ascii="Times New Roman" w:hAnsi="Times New Roman"/>
        <w:sz w:val="20"/>
        <w:szCs w:val="20"/>
        <w:lang w:val="es-MX"/>
      </w:rPr>
      <w:t>Administración Nacional de Electricidad (ANDE)</w:t>
    </w:r>
    <w:r w:rsidRPr="002B4554">
      <w:rPr>
        <w:rFonts w:ascii="Times New Roman" w:hAnsi="Times New Roman"/>
        <w:sz w:val="20"/>
        <w:szCs w:val="20"/>
        <w:lang w:val="es-MX"/>
      </w:rPr>
      <w:tab/>
    </w:r>
    <w:r w:rsidRPr="002B4554">
      <w:rPr>
        <w:rFonts w:ascii="Times New Roman" w:hAnsi="Times New Roman"/>
        <w:sz w:val="20"/>
        <w:szCs w:val="20"/>
        <w:lang w:val="es-MX"/>
      </w:rPr>
      <w:tab/>
    </w:r>
    <w:r w:rsidR="007876EF" w:rsidRPr="002B4554">
      <w:rPr>
        <w:rStyle w:val="Nmerodepgina"/>
        <w:rFonts w:ascii="Times New Roman" w:hAnsi="Times New Roman"/>
        <w:sz w:val="20"/>
        <w:szCs w:val="20"/>
      </w:rPr>
      <w:fldChar w:fldCharType="begin"/>
    </w:r>
    <w:r w:rsidRPr="002B4554">
      <w:rPr>
        <w:rStyle w:val="Nmerodepgina"/>
        <w:rFonts w:ascii="Times New Roman" w:hAnsi="Times New Roman"/>
        <w:sz w:val="20"/>
        <w:szCs w:val="20"/>
      </w:rPr>
      <w:instrText xml:space="preserve"> PAGE </w:instrText>
    </w:r>
    <w:r w:rsidR="007876EF" w:rsidRPr="002B4554">
      <w:rPr>
        <w:rStyle w:val="Nmerodepgina"/>
        <w:rFonts w:ascii="Times New Roman" w:hAnsi="Times New Roman"/>
        <w:sz w:val="20"/>
        <w:szCs w:val="20"/>
      </w:rPr>
      <w:fldChar w:fldCharType="separate"/>
    </w:r>
    <w:r w:rsidR="006C2637">
      <w:rPr>
        <w:rStyle w:val="Nmerodepgina"/>
        <w:rFonts w:ascii="Times New Roman" w:hAnsi="Times New Roman"/>
        <w:noProof/>
        <w:sz w:val="20"/>
        <w:szCs w:val="20"/>
      </w:rPr>
      <w:t>2</w:t>
    </w:r>
    <w:r w:rsidR="007876EF" w:rsidRPr="002B4554">
      <w:rPr>
        <w:rStyle w:val="Nmerodepgina"/>
        <w:rFonts w:ascii="Times New Roman" w:hAnsi="Times New Roman"/>
        <w:sz w:val="20"/>
        <w:szCs w:val="20"/>
      </w:rPr>
      <w:fldChar w:fldCharType="end"/>
    </w:r>
  </w:p>
  <w:p w:rsidR="002B4554" w:rsidRDefault="002B455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9C" w:rsidRDefault="00FC6A9C" w:rsidP="00BA5090">
      <w:pPr>
        <w:spacing w:after="0" w:line="240" w:lineRule="auto"/>
      </w:pPr>
      <w:r>
        <w:separator/>
      </w:r>
    </w:p>
  </w:footnote>
  <w:footnote w:type="continuationSeparator" w:id="0">
    <w:p w:rsidR="00FC6A9C" w:rsidRDefault="00FC6A9C" w:rsidP="00BA5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913" w:rsidRPr="002C2F86" w:rsidRDefault="00F96913" w:rsidP="00F96913">
    <w:pPr>
      <w:pStyle w:val="Encabezado"/>
      <w:ind w:right="-18"/>
      <w:rPr>
        <w:rFonts w:ascii="Times New Roman" w:hAnsi="Times New Roman" w:cs="Times New Roman"/>
        <w:sz w:val="20"/>
        <w:szCs w:val="20"/>
        <w:u w:val="single"/>
        <w:lang w:val="es-ES"/>
      </w:rPr>
    </w:pPr>
    <w:r w:rsidRPr="002C2F86">
      <w:rPr>
        <w:rFonts w:ascii="Times New Roman" w:hAnsi="Times New Roman" w:cs="Times New Roman"/>
        <w:sz w:val="20"/>
        <w:szCs w:val="20"/>
        <w:u w:val="single"/>
        <w:lang w:val="es-ES"/>
      </w:rPr>
      <w:t>Sección</w:t>
    </w:r>
    <w:r w:rsidR="00B826B2" w:rsidRPr="002C2F86">
      <w:rPr>
        <w:rFonts w:ascii="Times New Roman" w:hAnsi="Times New Roman" w:cs="Times New Roman"/>
        <w:sz w:val="20"/>
        <w:szCs w:val="20"/>
        <w:u w:val="single"/>
        <w:lang w:val="es-ES"/>
      </w:rPr>
      <w:t xml:space="preserve"> III</w:t>
    </w:r>
    <w:r w:rsidRPr="002C2F86">
      <w:rPr>
        <w:rFonts w:ascii="Times New Roman" w:hAnsi="Times New Roman" w:cs="Times New Roman"/>
        <w:sz w:val="20"/>
        <w:szCs w:val="20"/>
        <w:u w:val="single"/>
        <w:lang w:val="es-ES"/>
      </w:rPr>
      <w:t xml:space="preserve">. </w:t>
    </w:r>
    <w:r w:rsidR="00B826B2" w:rsidRPr="002C2F86">
      <w:rPr>
        <w:rFonts w:ascii="Times New Roman" w:hAnsi="Times New Roman" w:cs="Times New Roman"/>
        <w:sz w:val="20"/>
        <w:szCs w:val="20"/>
        <w:u w:val="single"/>
        <w:lang w:val="es-ES"/>
      </w:rPr>
      <w:t>Criterios de Evaluación y Calificación</w:t>
    </w:r>
    <w:r w:rsidRPr="00F96913">
      <w:rPr>
        <w:rFonts w:ascii="Times New Roman" w:hAnsi="Times New Roman" w:cs="Times New Roman"/>
        <w:sz w:val="24"/>
        <w:szCs w:val="24"/>
        <w:u w:val="single"/>
        <w:lang w:val="es-ES"/>
      </w:rPr>
      <w:tab/>
    </w:r>
    <w:r w:rsidR="002C2F86">
      <w:rPr>
        <w:rFonts w:ascii="Times New Roman" w:hAnsi="Times New Roman" w:cs="Times New Roman"/>
        <w:sz w:val="24"/>
        <w:szCs w:val="24"/>
        <w:u w:val="single"/>
        <w:lang w:val="es-ES"/>
      </w:rPr>
      <w:tab/>
    </w:r>
  </w:p>
  <w:p w:rsidR="00BA5090" w:rsidRPr="00BA5090" w:rsidRDefault="00BA5090" w:rsidP="00BA5090">
    <w:pPr>
      <w:widowControl w:val="0"/>
      <w:tabs>
        <w:tab w:val="center" w:pos="4419"/>
        <w:tab w:val="right" w:pos="8838"/>
      </w:tabs>
      <w:adjustRightInd w:val="0"/>
      <w:spacing w:after="0" w:line="240" w:lineRule="auto"/>
      <w:jc w:val="both"/>
      <w:textAlignment w:val="baseline"/>
      <w:rPr>
        <w:rFonts w:ascii="Times New Roman" w:eastAsia="Times New Roman" w:hAnsi="Times New Roman" w:cs="Times New Roman"/>
        <w:sz w:val="24"/>
        <w:szCs w:val="20"/>
        <w:lang w:val="es-ES" w:eastAsia="es-ES"/>
      </w:rPr>
    </w:pPr>
  </w:p>
  <w:p w:rsidR="00BA5090" w:rsidRPr="00BA5090" w:rsidRDefault="00BA5090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AAA"/>
    <w:multiLevelType w:val="hybridMultilevel"/>
    <w:tmpl w:val="5CB6451C"/>
    <w:lvl w:ilvl="0" w:tplc="6B74B154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EC7467"/>
    <w:multiLevelType w:val="hybridMultilevel"/>
    <w:tmpl w:val="8A10F640"/>
    <w:lvl w:ilvl="0" w:tplc="CDB42A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DA7CC2"/>
    <w:multiLevelType w:val="hybridMultilevel"/>
    <w:tmpl w:val="D7C8BD86"/>
    <w:lvl w:ilvl="0" w:tplc="3C0A0017">
      <w:start w:val="1"/>
      <w:numFmt w:val="lowerLetter"/>
      <w:lvlText w:val="%1)"/>
      <w:lvlJc w:val="left"/>
      <w:pPr>
        <w:ind w:left="1440" w:hanging="360"/>
      </w:p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E777C3"/>
    <w:multiLevelType w:val="hybridMultilevel"/>
    <w:tmpl w:val="59D4866A"/>
    <w:lvl w:ilvl="0" w:tplc="E9BA2934">
      <w:start w:val="1"/>
      <w:numFmt w:val="lowerLetter"/>
      <w:lvlText w:val="(%1)"/>
      <w:lvlJc w:val="left"/>
      <w:pPr>
        <w:tabs>
          <w:tab w:val="num" w:pos="720"/>
        </w:tabs>
        <w:ind w:left="1080" w:hanging="446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9F0B912">
      <w:start w:val="3"/>
      <w:numFmt w:val="lowerLetter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A14A0432">
      <w:start w:val="2"/>
      <w:numFmt w:val="lowerLetter"/>
      <w:lvlText w:val="(%3)"/>
      <w:lvlJc w:val="left"/>
      <w:pPr>
        <w:tabs>
          <w:tab w:val="num" w:pos="2520"/>
        </w:tabs>
        <w:ind w:left="2520" w:hanging="540"/>
      </w:pPr>
      <w:rPr>
        <w:rFonts w:hint="default"/>
        <w:b/>
        <w:i w:val="0"/>
        <w:color w:val="auto"/>
        <w:sz w:val="22"/>
        <w:szCs w:val="22"/>
        <w:u w:val="none"/>
      </w:rPr>
    </w:lvl>
    <w:lvl w:ilvl="3" w:tplc="3FC27D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F47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9A10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EAE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565A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46F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D13217"/>
    <w:multiLevelType w:val="multilevel"/>
    <w:tmpl w:val="C8945A2A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A9555BA"/>
    <w:multiLevelType w:val="hybridMultilevel"/>
    <w:tmpl w:val="5CB6451C"/>
    <w:lvl w:ilvl="0" w:tplc="6B74B154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028"/>
    <w:rsid w:val="000171D5"/>
    <w:rsid w:val="000469E7"/>
    <w:rsid w:val="00086C31"/>
    <w:rsid w:val="00092DE6"/>
    <w:rsid w:val="0009505B"/>
    <w:rsid w:val="000E0698"/>
    <w:rsid w:val="000E74FD"/>
    <w:rsid w:val="000F0ADE"/>
    <w:rsid w:val="001004D9"/>
    <w:rsid w:val="001066A7"/>
    <w:rsid w:val="001110EF"/>
    <w:rsid w:val="00112552"/>
    <w:rsid w:val="0015707F"/>
    <w:rsid w:val="002779FD"/>
    <w:rsid w:val="00280857"/>
    <w:rsid w:val="00281910"/>
    <w:rsid w:val="002B4554"/>
    <w:rsid w:val="002C2F86"/>
    <w:rsid w:val="002D0503"/>
    <w:rsid w:val="00307DD5"/>
    <w:rsid w:val="003208F7"/>
    <w:rsid w:val="00357DDB"/>
    <w:rsid w:val="003725F0"/>
    <w:rsid w:val="00377E05"/>
    <w:rsid w:val="0038241E"/>
    <w:rsid w:val="00391DB8"/>
    <w:rsid w:val="003A6686"/>
    <w:rsid w:val="003D61A3"/>
    <w:rsid w:val="003D68B8"/>
    <w:rsid w:val="003E46B2"/>
    <w:rsid w:val="00415F1A"/>
    <w:rsid w:val="00427121"/>
    <w:rsid w:val="00455B33"/>
    <w:rsid w:val="004D374E"/>
    <w:rsid w:val="004E0264"/>
    <w:rsid w:val="004F3714"/>
    <w:rsid w:val="0051063C"/>
    <w:rsid w:val="00522B93"/>
    <w:rsid w:val="00533E7B"/>
    <w:rsid w:val="005868AF"/>
    <w:rsid w:val="00593440"/>
    <w:rsid w:val="005F0D48"/>
    <w:rsid w:val="00601975"/>
    <w:rsid w:val="00613EBA"/>
    <w:rsid w:val="006352B9"/>
    <w:rsid w:val="00656395"/>
    <w:rsid w:val="00657663"/>
    <w:rsid w:val="00691B59"/>
    <w:rsid w:val="006B534E"/>
    <w:rsid w:val="006C2637"/>
    <w:rsid w:val="006E0B3A"/>
    <w:rsid w:val="00703ECF"/>
    <w:rsid w:val="00734322"/>
    <w:rsid w:val="007836CB"/>
    <w:rsid w:val="007876EF"/>
    <w:rsid w:val="00787FF1"/>
    <w:rsid w:val="00802636"/>
    <w:rsid w:val="00831F3B"/>
    <w:rsid w:val="00873685"/>
    <w:rsid w:val="008745BA"/>
    <w:rsid w:val="00874B91"/>
    <w:rsid w:val="00896A16"/>
    <w:rsid w:val="008A74A9"/>
    <w:rsid w:val="008C64EA"/>
    <w:rsid w:val="008E078A"/>
    <w:rsid w:val="009002F9"/>
    <w:rsid w:val="00906A44"/>
    <w:rsid w:val="00960D2D"/>
    <w:rsid w:val="00972DEE"/>
    <w:rsid w:val="00975815"/>
    <w:rsid w:val="00984A31"/>
    <w:rsid w:val="00984E76"/>
    <w:rsid w:val="00992037"/>
    <w:rsid w:val="009B3FA1"/>
    <w:rsid w:val="009C05CD"/>
    <w:rsid w:val="00A114D1"/>
    <w:rsid w:val="00A709A7"/>
    <w:rsid w:val="00A84F81"/>
    <w:rsid w:val="00AB24BC"/>
    <w:rsid w:val="00AE1EF4"/>
    <w:rsid w:val="00B0275C"/>
    <w:rsid w:val="00B04839"/>
    <w:rsid w:val="00B5550C"/>
    <w:rsid w:val="00B6197D"/>
    <w:rsid w:val="00B826B2"/>
    <w:rsid w:val="00BA5090"/>
    <w:rsid w:val="00BD1F3C"/>
    <w:rsid w:val="00BE023A"/>
    <w:rsid w:val="00BF620A"/>
    <w:rsid w:val="00C17C48"/>
    <w:rsid w:val="00C45FB3"/>
    <w:rsid w:val="00C5275C"/>
    <w:rsid w:val="00C57091"/>
    <w:rsid w:val="00C76060"/>
    <w:rsid w:val="00C96242"/>
    <w:rsid w:val="00CF24B5"/>
    <w:rsid w:val="00D20FD1"/>
    <w:rsid w:val="00D67888"/>
    <w:rsid w:val="00D9081C"/>
    <w:rsid w:val="00D92348"/>
    <w:rsid w:val="00D97930"/>
    <w:rsid w:val="00DA2028"/>
    <w:rsid w:val="00DE5AF0"/>
    <w:rsid w:val="00DF327F"/>
    <w:rsid w:val="00DF5C98"/>
    <w:rsid w:val="00E14941"/>
    <w:rsid w:val="00E155FB"/>
    <w:rsid w:val="00E51E3E"/>
    <w:rsid w:val="00E72039"/>
    <w:rsid w:val="00E91297"/>
    <w:rsid w:val="00E9563C"/>
    <w:rsid w:val="00EE0E71"/>
    <w:rsid w:val="00EF0318"/>
    <w:rsid w:val="00F42517"/>
    <w:rsid w:val="00F70A48"/>
    <w:rsid w:val="00F96913"/>
    <w:rsid w:val="00FB3664"/>
    <w:rsid w:val="00FB3EEA"/>
    <w:rsid w:val="00FC6A9C"/>
    <w:rsid w:val="00FD602C"/>
    <w:rsid w:val="00FD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74FD"/>
    <w:pPr>
      <w:ind w:left="720"/>
      <w:contextualSpacing/>
    </w:pPr>
  </w:style>
  <w:style w:type="paragraph" w:customStyle="1" w:styleId="Style1">
    <w:name w:val="Style 1"/>
    <w:basedOn w:val="Normal"/>
    <w:uiPriority w:val="99"/>
    <w:rsid w:val="000E74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es-PY"/>
    </w:rPr>
  </w:style>
  <w:style w:type="paragraph" w:customStyle="1" w:styleId="Style16">
    <w:name w:val="Style 16"/>
    <w:basedOn w:val="Normal"/>
    <w:uiPriority w:val="99"/>
    <w:rsid w:val="000E74FD"/>
    <w:pPr>
      <w:widowControl w:val="0"/>
      <w:autoSpaceDE w:val="0"/>
      <w:autoSpaceDN w:val="0"/>
      <w:spacing w:before="144" w:after="0" w:line="240" w:lineRule="auto"/>
      <w:ind w:left="360"/>
    </w:pPr>
    <w:rPr>
      <w:rFonts w:ascii="Times New Roman" w:eastAsiaTheme="minorEastAsia" w:hAnsi="Times New Roman" w:cs="Times New Roman"/>
      <w:sz w:val="23"/>
      <w:szCs w:val="23"/>
      <w:lang w:val="en-US" w:eastAsia="es-PY"/>
    </w:rPr>
  </w:style>
  <w:style w:type="character" w:customStyle="1" w:styleId="CharacterStyle1">
    <w:name w:val="Character Style 1"/>
    <w:uiPriority w:val="99"/>
    <w:rsid w:val="000E74FD"/>
    <w:rPr>
      <w:sz w:val="20"/>
      <w:szCs w:val="20"/>
    </w:rPr>
  </w:style>
  <w:style w:type="character" w:customStyle="1" w:styleId="CharacterStyle2">
    <w:name w:val="Character Style 2"/>
    <w:uiPriority w:val="99"/>
    <w:rsid w:val="000E74FD"/>
    <w:rPr>
      <w:sz w:val="23"/>
      <w:szCs w:val="23"/>
    </w:rPr>
  </w:style>
  <w:style w:type="paragraph" w:styleId="Encabezado">
    <w:name w:val="header"/>
    <w:basedOn w:val="Normal"/>
    <w:link w:val="EncabezadoCar"/>
    <w:uiPriority w:val="99"/>
    <w:unhideWhenUsed/>
    <w:rsid w:val="00BA50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5090"/>
  </w:style>
  <w:style w:type="paragraph" w:styleId="Piedepgina">
    <w:name w:val="footer"/>
    <w:basedOn w:val="Normal"/>
    <w:link w:val="PiedepginaCar"/>
    <w:unhideWhenUsed/>
    <w:rsid w:val="00BA50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A5090"/>
  </w:style>
  <w:style w:type="paragraph" w:styleId="Textodeglobo">
    <w:name w:val="Balloon Text"/>
    <w:basedOn w:val="Normal"/>
    <w:link w:val="TextodegloboCar"/>
    <w:uiPriority w:val="99"/>
    <w:semiHidden/>
    <w:unhideWhenUsed/>
    <w:rsid w:val="0041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F1A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96913"/>
  </w:style>
  <w:style w:type="character" w:styleId="Refdecomentario">
    <w:name w:val="annotation reference"/>
    <w:basedOn w:val="Fuentedeprrafopredeter"/>
    <w:uiPriority w:val="99"/>
    <w:semiHidden/>
    <w:unhideWhenUsed/>
    <w:rsid w:val="000950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505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505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50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505B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962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74FD"/>
    <w:pPr>
      <w:ind w:left="720"/>
      <w:contextualSpacing/>
    </w:pPr>
  </w:style>
  <w:style w:type="paragraph" w:customStyle="1" w:styleId="Style1">
    <w:name w:val="Style 1"/>
    <w:basedOn w:val="Normal"/>
    <w:uiPriority w:val="99"/>
    <w:rsid w:val="000E74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es-PY"/>
    </w:rPr>
  </w:style>
  <w:style w:type="paragraph" w:customStyle="1" w:styleId="Style16">
    <w:name w:val="Style 16"/>
    <w:basedOn w:val="Normal"/>
    <w:uiPriority w:val="99"/>
    <w:rsid w:val="000E74FD"/>
    <w:pPr>
      <w:widowControl w:val="0"/>
      <w:autoSpaceDE w:val="0"/>
      <w:autoSpaceDN w:val="0"/>
      <w:spacing w:before="144" w:after="0" w:line="240" w:lineRule="auto"/>
      <w:ind w:left="360"/>
    </w:pPr>
    <w:rPr>
      <w:rFonts w:ascii="Times New Roman" w:eastAsiaTheme="minorEastAsia" w:hAnsi="Times New Roman" w:cs="Times New Roman"/>
      <w:sz w:val="23"/>
      <w:szCs w:val="23"/>
      <w:lang w:val="en-US" w:eastAsia="es-PY"/>
    </w:rPr>
  </w:style>
  <w:style w:type="character" w:customStyle="1" w:styleId="CharacterStyle1">
    <w:name w:val="Character Style 1"/>
    <w:uiPriority w:val="99"/>
    <w:rsid w:val="000E74FD"/>
    <w:rPr>
      <w:sz w:val="20"/>
      <w:szCs w:val="20"/>
    </w:rPr>
  </w:style>
  <w:style w:type="character" w:customStyle="1" w:styleId="CharacterStyle2">
    <w:name w:val="Character Style 2"/>
    <w:uiPriority w:val="99"/>
    <w:rsid w:val="000E74FD"/>
    <w:rPr>
      <w:sz w:val="23"/>
      <w:szCs w:val="23"/>
    </w:rPr>
  </w:style>
  <w:style w:type="paragraph" w:styleId="Encabezado">
    <w:name w:val="header"/>
    <w:basedOn w:val="Normal"/>
    <w:link w:val="EncabezadoCar"/>
    <w:uiPriority w:val="99"/>
    <w:unhideWhenUsed/>
    <w:rsid w:val="00BA50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5090"/>
  </w:style>
  <w:style w:type="paragraph" w:styleId="Piedepgina">
    <w:name w:val="footer"/>
    <w:basedOn w:val="Normal"/>
    <w:link w:val="PiedepginaCar"/>
    <w:uiPriority w:val="99"/>
    <w:unhideWhenUsed/>
    <w:rsid w:val="00BA50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5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4FA3-0F64-4FE2-820A-4282F74C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823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 Daniel Gonzalez</dc:creator>
  <cp:lastModifiedBy>asu06042</cp:lastModifiedBy>
  <cp:revision>65</cp:revision>
  <cp:lastPrinted>2014-11-03T03:20:00Z</cp:lastPrinted>
  <dcterms:created xsi:type="dcterms:W3CDTF">2014-06-04T23:15:00Z</dcterms:created>
  <dcterms:modified xsi:type="dcterms:W3CDTF">2016-09-15T14:34:00Z</dcterms:modified>
</cp:coreProperties>
</file>