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90.0" w:type="dxa"/>
        <w:jc w:val="left"/>
        <w:tblInd w:w="40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7215"/>
        <w:gridCol w:w="1275"/>
        <w:gridCol w:w="1200"/>
        <w:tblGridChange w:id="0">
          <w:tblGrid>
            <w:gridCol w:w="7215"/>
            <w:gridCol w:w="1275"/>
            <w:gridCol w:w="1200"/>
          </w:tblGrid>
        </w:tblGridChange>
      </w:tblGrid>
      <w:tr>
        <w:tc>
          <w:tcPr>
            <w:vMerge w:val="restart"/>
            <w:tcBorders>
              <w:top w:color="999999" w:space="0" w:sz="6" w:val="single"/>
              <w:left w:color="999999" w:space="0" w:sz="6" w:val="single"/>
              <w:bottom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Funcionalidades</w:t>
            </w:r>
          </w:p>
        </w:tc>
        <w:tc>
          <w:tcPr>
            <w:gridSpan w:val="2"/>
            <w:tcBorders>
              <w:top w:color="999999" w:space="0" w:sz="6" w:val="single"/>
              <w:right w:color="999999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Nombre de la Solución: 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Bloqueo de un dominio identificado como malicioso</w:t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Bloqueo de dominios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potencialmente maliciosos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/ sospechosos</w:t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Almacena registro de todas las peticiones DNS detectadas (maliciosas, sospechosas y legítimas)</w:t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Almacena registro de todas las peticiones DNS maliciosas detectadas</w:t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Generación de alertas o algún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indicador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visual de un potencial incidente / detección de petición DNS para los analistas</w:t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Configuración personalizable de alertas o indicador visual ante la detección de una determinada petición DNS a un determinado dominio.</w:t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Envío de alertas o notificaciones a través mensajes de correo electrónico</w:t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Almacena registros de peticiones durante _________ días o ________ MB (dejar en blanco si no lo hace)</w:t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Manejar múltiples Organizaciones (Multi-tenant)</w:t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Administrar redes, segmentos y políticas de otras organizaciones de manera centralizada</w:t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Filtrar registros de petición de DNS por IP</w:t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Filtrar registros de DNS por organización</w:t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Elaborar zonas DNS customizables</w:t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Exportación de logs o registros de peticiones DNS</w:t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 integra o incluye al menos una fuente de listas de dominios maliciosos conocidos, mantenida por una organización o comunidad de inteligencia de amenazas</w:t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Integración con fuentes externas existentes de Listas de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dominios maliciosos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conocidos (URL Haus, Talos, etc.)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Integración con fuentes personalizadas a través de APIs</w:t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Integración con herramientas tipo SIEM (Elastic, Splunk, etc)</w:t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Dashboard de Visualización General y global para todas las organizaciones</w:t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999999" w:space="0" w:sz="6" w:val="single"/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Dashboard segmentado por organización, con accesos/roles por organización</w:t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999999" w:space="0" w:sz="6" w:val="single"/>
              <w:right w:color="99999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 w:orient="portrait"/>
      <w:pgMar w:bottom="1417.3228346456694" w:top="1417.3228346456694" w:left="1133.8582677165355" w:right="1132.2047244094488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Y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