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7D3C" w14:textId="169E4210" w:rsidR="00E55208" w:rsidRDefault="00E55208" w:rsidP="00804B1B">
      <w:pPr>
        <w:spacing w:after="0" w:line="276" w:lineRule="auto"/>
        <w:jc w:val="both"/>
        <w:rPr>
          <w:sz w:val="24"/>
        </w:rPr>
      </w:pPr>
    </w:p>
    <w:p w14:paraId="26267481" w14:textId="7BBBFC1C" w:rsidR="00E55208" w:rsidRPr="00B37141" w:rsidRDefault="0018035B" w:rsidP="006A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REQUISITOS </w:t>
      </w:r>
      <w:r w:rsidR="00E55208" w:rsidRPr="00B37141">
        <w:rPr>
          <w:b/>
          <w:sz w:val="24"/>
        </w:rPr>
        <w:t>DOCUMENT</w:t>
      </w:r>
      <w:r>
        <w:rPr>
          <w:b/>
          <w:sz w:val="24"/>
        </w:rPr>
        <w:t xml:space="preserve">ALES </w:t>
      </w:r>
      <w:r w:rsidR="00E55208" w:rsidRPr="00B37141">
        <w:rPr>
          <w:b/>
          <w:sz w:val="24"/>
        </w:rPr>
        <w:t xml:space="preserve">A SER </w:t>
      </w:r>
      <w:r>
        <w:rPr>
          <w:b/>
          <w:sz w:val="24"/>
        </w:rPr>
        <w:t>PRESENTADOS</w:t>
      </w:r>
      <w:r w:rsidR="00E55208" w:rsidRPr="00B37141">
        <w:rPr>
          <w:b/>
          <w:sz w:val="24"/>
        </w:rPr>
        <w:t xml:space="preserve"> </w:t>
      </w:r>
      <w:r w:rsidR="00177258">
        <w:rPr>
          <w:b/>
          <w:sz w:val="24"/>
        </w:rPr>
        <w:t>EN EL REGISTRO DE PROVEEDORES</w:t>
      </w:r>
    </w:p>
    <w:p w14:paraId="50D8F5D5" w14:textId="2E5BDD72" w:rsidR="00E55208" w:rsidRPr="00B37141" w:rsidRDefault="00E55208" w:rsidP="00804B1B">
      <w:pPr>
        <w:spacing w:after="0" w:line="276" w:lineRule="auto"/>
        <w:jc w:val="both"/>
        <w:rPr>
          <w:b/>
          <w:sz w:val="24"/>
        </w:rPr>
      </w:pPr>
    </w:p>
    <w:p w14:paraId="10AF491D" w14:textId="6271AC60" w:rsidR="00CD046C" w:rsidRPr="00814E74" w:rsidRDefault="00CD046C" w:rsidP="00672939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814E74">
        <w:rPr>
          <w:b/>
        </w:rPr>
        <w:t>PERSONA JURÍDICA NACIONAL O EXTRANJERA</w:t>
      </w:r>
    </w:p>
    <w:tbl>
      <w:tblPr>
        <w:tblStyle w:val="Tablaconcuadrcula"/>
        <w:tblW w:w="9576" w:type="dxa"/>
        <w:tblInd w:w="-546" w:type="dxa"/>
        <w:tblLook w:val="04A0" w:firstRow="1" w:lastRow="0" w:firstColumn="1" w:lastColumn="0" w:noHBand="0" w:noVBand="1"/>
      </w:tblPr>
      <w:tblGrid>
        <w:gridCol w:w="451"/>
        <w:gridCol w:w="4558"/>
        <w:gridCol w:w="4567"/>
      </w:tblGrid>
      <w:tr w:rsidR="00026D7E" w:rsidRPr="00814E74" w14:paraId="303AD82F" w14:textId="77777777" w:rsidTr="00CB0D54">
        <w:trPr>
          <w:trHeight w:val="2221"/>
        </w:trPr>
        <w:tc>
          <w:tcPr>
            <w:tcW w:w="451" w:type="dxa"/>
          </w:tcPr>
          <w:p w14:paraId="7E237E3A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14:paraId="32AE6152" w14:textId="77777777" w:rsidR="00026D7E" w:rsidRPr="00814E74" w:rsidRDefault="00026D7E" w:rsidP="00804B1B">
            <w:pPr>
              <w:tabs>
                <w:tab w:val="right" w:pos="9356"/>
              </w:tabs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Solicitud de Inscripción al Registro.</w:t>
            </w:r>
          </w:p>
        </w:tc>
        <w:tc>
          <w:tcPr>
            <w:tcW w:w="4567" w:type="dxa"/>
          </w:tcPr>
          <w:p w14:paraId="66D86712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Reporte generado a través del SICP una vez finalizada la preinscripción, la misma debe ser presentada en formato original completado y firmado por el solicitante, ajustado al formato aprobado por la DNCP.</w:t>
            </w:r>
          </w:p>
          <w:p w14:paraId="16F7070A" w14:textId="66DA8749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 xml:space="preserve">En caso que el oferente opte por la </w:t>
            </w:r>
            <w:r w:rsidR="00D30361" w:rsidRPr="00814E74">
              <w:rPr>
                <w:sz w:val="20"/>
                <w:szCs w:val="20"/>
              </w:rPr>
              <w:t>firma electrónica cualificada</w:t>
            </w:r>
            <w:r w:rsidR="00AB5119" w:rsidRPr="00814E74">
              <w:rPr>
                <w:sz w:val="20"/>
                <w:szCs w:val="20"/>
              </w:rPr>
              <w:t xml:space="preserve"> y </w:t>
            </w:r>
            <w:r w:rsidR="0005483E" w:rsidRPr="00814E74">
              <w:rPr>
                <w:sz w:val="20"/>
                <w:szCs w:val="20"/>
              </w:rPr>
              <w:t>éste sea una empresa Nacional</w:t>
            </w:r>
            <w:r w:rsidRPr="00814E74">
              <w:rPr>
                <w:sz w:val="20"/>
                <w:szCs w:val="20"/>
              </w:rPr>
              <w:t>, el formulario deberá levantar en el sistema, en el apartado documentos.</w:t>
            </w:r>
          </w:p>
          <w:p w14:paraId="1DD5DAE2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6D7E" w:rsidRPr="00814E74" w14:paraId="73D5944A" w14:textId="77777777" w:rsidTr="001742A0">
        <w:trPr>
          <w:trHeight w:val="843"/>
        </w:trPr>
        <w:tc>
          <w:tcPr>
            <w:tcW w:w="451" w:type="dxa"/>
          </w:tcPr>
          <w:p w14:paraId="5C8452DF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2</w:t>
            </w:r>
          </w:p>
        </w:tc>
        <w:tc>
          <w:tcPr>
            <w:tcW w:w="4558" w:type="dxa"/>
          </w:tcPr>
          <w:p w14:paraId="5B6C2002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Documento de Identidad o Pasaporte del titular o el/los Representantes Legales vigentes.</w:t>
            </w:r>
          </w:p>
        </w:tc>
        <w:tc>
          <w:tcPr>
            <w:tcW w:w="4567" w:type="dxa"/>
          </w:tcPr>
          <w:p w14:paraId="5E14D540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El documento debe ser copia simple, legible y estar vigente al momento de la presentación.</w:t>
            </w:r>
          </w:p>
          <w:p w14:paraId="6045E100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6D7E" w:rsidRPr="00814E74" w14:paraId="746B9B4D" w14:textId="77777777" w:rsidTr="001742A0">
        <w:trPr>
          <w:trHeight w:val="835"/>
        </w:trPr>
        <w:tc>
          <w:tcPr>
            <w:tcW w:w="451" w:type="dxa"/>
          </w:tcPr>
          <w:p w14:paraId="63A6CC2C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3</w:t>
            </w:r>
          </w:p>
        </w:tc>
        <w:tc>
          <w:tcPr>
            <w:tcW w:w="4558" w:type="dxa"/>
          </w:tcPr>
          <w:p w14:paraId="10F3A667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Constancia del RUC (SET) o Constancia o Inscripción ante la autoridad tributaria del país de origen, en caso de personas extranjeras.</w:t>
            </w:r>
          </w:p>
        </w:tc>
        <w:tc>
          <w:tcPr>
            <w:tcW w:w="4567" w:type="dxa"/>
          </w:tcPr>
          <w:p w14:paraId="6E437EE7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Impresión digital o copia simple y legible.</w:t>
            </w:r>
          </w:p>
          <w:p w14:paraId="2E685AAE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El documento debe estar vigente al momento de la presentación.</w:t>
            </w:r>
          </w:p>
        </w:tc>
      </w:tr>
      <w:tr w:rsidR="00026D7E" w:rsidRPr="00814E74" w14:paraId="71A8AEB7" w14:textId="77777777" w:rsidTr="001742A0">
        <w:trPr>
          <w:trHeight w:val="1257"/>
        </w:trPr>
        <w:tc>
          <w:tcPr>
            <w:tcW w:w="451" w:type="dxa"/>
          </w:tcPr>
          <w:p w14:paraId="5F31CDDC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4</w:t>
            </w:r>
          </w:p>
        </w:tc>
        <w:tc>
          <w:tcPr>
            <w:tcW w:w="4558" w:type="dxa"/>
          </w:tcPr>
          <w:p w14:paraId="14B3588D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Constitución o Estatuto Social con las respectivas constancias de inscripción en los Registros Públicos o documento equivalente en caso de empresas extranjeras</w:t>
            </w:r>
          </w:p>
        </w:tc>
        <w:tc>
          <w:tcPr>
            <w:tcW w:w="4567" w:type="dxa"/>
          </w:tcPr>
          <w:p w14:paraId="3F58D4B7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El documento debe ser copia simple legible y contar con todas las modificaciones que las hubiere.</w:t>
            </w:r>
          </w:p>
          <w:p w14:paraId="4DE552DC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Las escrituras públicas de constitución deberán contar con la inscripción en los registros públicos respectivos.</w:t>
            </w:r>
          </w:p>
        </w:tc>
      </w:tr>
      <w:tr w:rsidR="00026D7E" w:rsidRPr="00814E74" w14:paraId="47965FF9" w14:textId="77777777" w:rsidTr="001742A0">
        <w:trPr>
          <w:trHeight w:val="2327"/>
        </w:trPr>
        <w:tc>
          <w:tcPr>
            <w:tcW w:w="451" w:type="dxa"/>
          </w:tcPr>
          <w:p w14:paraId="6F4398CA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5</w:t>
            </w:r>
          </w:p>
        </w:tc>
        <w:tc>
          <w:tcPr>
            <w:tcW w:w="4558" w:type="dxa"/>
          </w:tcPr>
          <w:p w14:paraId="0F497665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Acta de Asamblea General o Extraordinaria o documento equivalente en caso de personas extranjeras, donde se verifique:</w:t>
            </w:r>
          </w:p>
          <w:p w14:paraId="104FC1A8" w14:textId="77777777" w:rsidR="00026D7E" w:rsidRPr="00814E74" w:rsidRDefault="00026D7E" w:rsidP="00804B1B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21" w:hanging="284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Aprobación del Balance General del último ejercicio fiscal;</w:t>
            </w:r>
          </w:p>
          <w:p w14:paraId="5EC51003" w14:textId="77777777" w:rsidR="00026D7E" w:rsidRPr="00814E74" w:rsidRDefault="00026D7E" w:rsidP="00804B1B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21" w:hanging="284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Actuales miembros del Directorio de la Sociedad;</w:t>
            </w:r>
          </w:p>
          <w:p w14:paraId="490435F4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Constancia de Comunicación de Asamblea para empresas nacionales (expedida por la Abogacía del Tesoro).</w:t>
            </w:r>
          </w:p>
        </w:tc>
        <w:tc>
          <w:tcPr>
            <w:tcW w:w="4567" w:type="dxa"/>
          </w:tcPr>
          <w:p w14:paraId="4196BCF0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El documento debe ser copia simple legible y vigente al momento de la presentación.</w:t>
            </w:r>
          </w:p>
          <w:p w14:paraId="4EDB2139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Así mismo debe estar firmado con aclaración del o los representantes de la sociedad.</w:t>
            </w:r>
          </w:p>
        </w:tc>
      </w:tr>
      <w:tr w:rsidR="00026D7E" w:rsidRPr="00814E74" w14:paraId="1FA79B40" w14:textId="77777777" w:rsidTr="001742A0">
        <w:trPr>
          <w:trHeight w:val="1046"/>
        </w:trPr>
        <w:tc>
          <w:tcPr>
            <w:tcW w:w="451" w:type="dxa"/>
          </w:tcPr>
          <w:p w14:paraId="6EECAC3F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6</w:t>
            </w:r>
          </w:p>
        </w:tc>
        <w:tc>
          <w:tcPr>
            <w:tcW w:w="4558" w:type="dxa"/>
          </w:tcPr>
          <w:p w14:paraId="0898D018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Poder Especial o General otorgado ante Escribano Público o Documento que acredite la representación legal del firmante, en caso de personas extranjeras.</w:t>
            </w:r>
          </w:p>
        </w:tc>
        <w:tc>
          <w:tcPr>
            <w:tcW w:w="4567" w:type="dxa"/>
          </w:tcPr>
          <w:p w14:paraId="6973EF13" w14:textId="77777777" w:rsidR="00026D7E" w:rsidRPr="00814E74" w:rsidRDefault="00026D7E" w:rsidP="00804B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El documento debe ser copia simple, legible y estar vigente al momento de la presentación.</w:t>
            </w:r>
          </w:p>
        </w:tc>
      </w:tr>
      <w:tr w:rsidR="00842467" w:rsidRPr="00814E74" w14:paraId="73017A8B" w14:textId="77777777" w:rsidTr="001742A0">
        <w:trPr>
          <w:trHeight w:val="1046"/>
        </w:trPr>
        <w:tc>
          <w:tcPr>
            <w:tcW w:w="451" w:type="dxa"/>
          </w:tcPr>
          <w:p w14:paraId="27E76488" w14:textId="3A421DC5" w:rsidR="00842467" w:rsidRPr="00814E74" w:rsidRDefault="00842467" w:rsidP="008424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7</w:t>
            </w:r>
          </w:p>
        </w:tc>
        <w:tc>
          <w:tcPr>
            <w:tcW w:w="4558" w:type="dxa"/>
          </w:tcPr>
          <w:p w14:paraId="73088859" w14:textId="05E123FA" w:rsidR="00842467" w:rsidRPr="00814E74" w:rsidRDefault="00842467" w:rsidP="008424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t>Constancia de Registro de Estructuras Jurídicas</w:t>
            </w:r>
          </w:p>
        </w:tc>
        <w:tc>
          <w:tcPr>
            <w:tcW w:w="4567" w:type="dxa"/>
          </w:tcPr>
          <w:p w14:paraId="2963C175" w14:textId="292DECFD" w:rsidR="00842467" w:rsidRPr="00814E74" w:rsidRDefault="00842467" w:rsidP="008424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t>Emitida por la Abogacía del Tesoro del Ministerio de Economía y Finanzas</w:t>
            </w:r>
          </w:p>
        </w:tc>
      </w:tr>
      <w:tr w:rsidR="00842467" w:rsidRPr="00814E74" w14:paraId="53AF8AA8" w14:textId="77777777" w:rsidTr="001742A0">
        <w:trPr>
          <w:trHeight w:val="1046"/>
        </w:trPr>
        <w:tc>
          <w:tcPr>
            <w:tcW w:w="451" w:type="dxa"/>
          </w:tcPr>
          <w:p w14:paraId="2A20A9B5" w14:textId="72C77CA4" w:rsidR="00842467" w:rsidRPr="00814E74" w:rsidRDefault="00842467" w:rsidP="008424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rPr>
                <w:sz w:val="20"/>
                <w:szCs w:val="20"/>
              </w:rPr>
              <w:t>8</w:t>
            </w:r>
          </w:p>
        </w:tc>
        <w:tc>
          <w:tcPr>
            <w:tcW w:w="4558" w:type="dxa"/>
          </w:tcPr>
          <w:p w14:paraId="421B5FDF" w14:textId="50CC147D" w:rsidR="00842467" w:rsidRPr="00814E74" w:rsidRDefault="00842467" w:rsidP="008424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t>Constancia de Registro de Beneficiarios Finales</w:t>
            </w:r>
          </w:p>
        </w:tc>
        <w:tc>
          <w:tcPr>
            <w:tcW w:w="4567" w:type="dxa"/>
          </w:tcPr>
          <w:p w14:paraId="2F39B3B2" w14:textId="403AE1B7" w:rsidR="00842467" w:rsidRPr="00814E74" w:rsidRDefault="00842467" w:rsidP="008424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E74">
              <w:t>Emitida por la Abogacía del Tesoro del Ministerio de Economía y Finanzas</w:t>
            </w:r>
          </w:p>
        </w:tc>
      </w:tr>
    </w:tbl>
    <w:p w14:paraId="604A521C" w14:textId="77777777" w:rsidR="00EE09A5" w:rsidRDefault="00EE09A5" w:rsidP="00804B1B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14:paraId="0C7DF8AA" w14:textId="2F120F31" w:rsidR="00E619BE" w:rsidRDefault="00C748F3" w:rsidP="00804B1B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14E74">
        <w:rPr>
          <w:rFonts w:ascii="Arial" w:hAnsi="Arial" w:cs="Arial"/>
          <w:sz w:val="18"/>
          <w:szCs w:val="20"/>
        </w:rPr>
        <w:lastRenderedPageBreak/>
        <w:t>Con relación a los</w:t>
      </w:r>
      <w:r w:rsidR="00DF13BB" w:rsidRPr="00814E74">
        <w:rPr>
          <w:rFonts w:ascii="Arial" w:hAnsi="Arial" w:cs="Arial"/>
          <w:sz w:val="18"/>
          <w:szCs w:val="20"/>
        </w:rPr>
        <w:t xml:space="preserve"> punto</w:t>
      </w:r>
      <w:r w:rsidRPr="00814E74">
        <w:rPr>
          <w:rFonts w:ascii="Arial" w:hAnsi="Arial" w:cs="Arial"/>
          <w:sz w:val="18"/>
          <w:szCs w:val="20"/>
        </w:rPr>
        <w:t>s</w:t>
      </w:r>
      <w:r w:rsidR="00DF13BB" w:rsidRPr="00814E74">
        <w:rPr>
          <w:rFonts w:ascii="Arial" w:hAnsi="Arial" w:cs="Arial"/>
          <w:sz w:val="18"/>
          <w:szCs w:val="20"/>
        </w:rPr>
        <w:t xml:space="preserve"> 7 y 8</w:t>
      </w:r>
      <w:r w:rsidRPr="00814E74">
        <w:rPr>
          <w:rFonts w:ascii="Arial" w:hAnsi="Arial" w:cs="Arial"/>
          <w:sz w:val="18"/>
          <w:szCs w:val="20"/>
        </w:rPr>
        <w:t xml:space="preserve">: </w:t>
      </w:r>
      <w:r w:rsidR="002B4705" w:rsidRPr="002B4705">
        <w:rPr>
          <w:rFonts w:ascii="Arial" w:hAnsi="Arial" w:cs="Arial"/>
          <w:sz w:val="18"/>
          <w:szCs w:val="20"/>
        </w:rPr>
        <w:t>La información solo aplica para empresas nacionales</w:t>
      </w:r>
      <w:r w:rsidR="002B4705">
        <w:t xml:space="preserve">. </w:t>
      </w:r>
      <w:r w:rsidRPr="00814E74">
        <w:rPr>
          <w:rFonts w:ascii="Arial" w:hAnsi="Arial" w:cs="Arial"/>
          <w:sz w:val="18"/>
          <w:szCs w:val="20"/>
        </w:rPr>
        <w:t xml:space="preserve">La información obrante en estas constancias serán utilizas por el Sistema de Compras </w:t>
      </w:r>
      <w:r w:rsidR="00814E74" w:rsidRPr="00814E74">
        <w:rPr>
          <w:rFonts w:ascii="Arial" w:hAnsi="Arial" w:cs="Arial"/>
          <w:sz w:val="18"/>
          <w:szCs w:val="20"/>
        </w:rPr>
        <w:t>Públicas</w:t>
      </w:r>
      <w:r w:rsidRPr="00814E74">
        <w:rPr>
          <w:rFonts w:ascii="Arial" w:hAnsi="Arial" w:cs="Arial"/>
          <w:sz w:val="18"/>
          <w:szCs w:val="20"/>
        </w:rPr>
        <w:t xml:space="preserve"> como si hubieran sido declaradas ante el Registro de Proveedores</w:t>
      </w:r>
      <w:r w:rsidR="00EE09A5">
        <w:rPr>
          <w:rFonts w:ascii="Arial" w:hAnsi="Arial" w:cs="Arial"/>
          <w:sz w:val="18"/>
          <w:szCs w:val="20"/>
        </w:rPr>
        <w:t>.</w:t>
      </w:r>
    </w:p>
    <w:p w14:paraId="79D2BE44" w14:textId="77777777" w:rsidR="00E619BE" w:rsidRDefault="00E619BE" w:rsidP="00804B1B">
      <w:pPr>
        <w:spacing w:line="276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25BCDDD8" w14:textId="57B94682" w:rsidR="00AB1B7D" w:rsidRPr="007E3A08" w:rsidRDefault="00AB1B7D" w:rsidP="00804B1B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E3A08">
        <w:rPr>
          <w:rFonts w:ascii="Arial" w:hAnsi="Arial" w:cs="Arial"/>
          <w:b/>
          <w:sz w:val="20"/>
        </w:rPr>
        <w:t xml:space="preserve">Observaciones: </w:t>
      </w:r>
    </w:p>
    <w:p w14:paraId="599763A3" w14:textId="77777777" w:rsidR="00AB1B7D" w:rsidRPr="007E3A08" w:rsidRDefault="00AB1B7D" w:rsidP="00804B1B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7E3A08">
        <w:rPr>
          <w:rFonts w:ascii="Arial" w:hAnsi="Arial" w:cs="Arial"/>
          <w:sz w:val="18"/>
          <w:szCs w:val="20"/>
        </w:rPr>
        <w:t>Las documentaciones mínimas requeridas en el presente Anexo constituyen requisitos para la inscripción del proveedor al Registro de Proveedores, y su activación de Usuario, independientemente a lo solicitado por los Pliegos de Bases y Condiciones Particulares de cada licitación.</w:t>
      </w:r>
    </w:p>
    <w:p w14:paraId="1FD63896" w14:textId="6A424C4E" w:rsidR="00AB1B7D" w:rsidRPr="007E3A08" w:rsidRDefault="00AB1B7D" w:rsidP="00804B1B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7E3A08">
        <w:rPr>
          <w:rFonts w:ascii="Arial" w:hAnsi="Arial" w:cs="Arial"/>
          <w:sz w:val="18"/>
          <w:szCs w:val="20"/>
        </w:rPr>
        <w:t>En caso de que el idioma de las documentaciones de las empresas extranjeras sean distintos al</w:t>
      </w:r>
      <w:r w:rsidR="00CB0D54" w:rsidRPr="007E3A08">
        <w:rPr>
          <w:rFonts w:ascii="Arial" w:hAnsi="Arial" w:cs="Arial"/>
          <w:sz w:val="18"/>
          <w:szCs w:val="20"/>
        </w:rPr>
        <w:t xml:space="preserve"> </w:t>
      </w:r>
      <w:r w:rsidRPr="007E3A08">
        <w:rPr>
          <w:rFonts w:ascii="Arial" w:hAnsi="Arial" w:cs="Arial"/>
          <w:sz w:val="18"/>
          <w:szCs w:val="20"/>
        </w:rPr>
        <w:t>español, la mismas deberán estar acompañadas de traducción oficial, realizada por un traductor público matriculado en la República del Paraguay.</w:t>
      </w:r>
    </w:p>
    <w:p w14:paraId="02F8DDE3" w14:textId="51EFC4C2" w:rsidR="00E55208" w:rsidRDefault="00E55208" w:rsidP="00804B1B">
      <w:pPr>
        <w:spacing w:after="0" w:line="276" w:lineRule="auto"/>
        <w:jc w:val="both"/>
        <w:rPr>
          <w:sz w:val="24"/>
        </w:rPr>
      </w:pPr>
    </w:p>
    <w:sectPr w:rsidR="00E55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D6B79" w14:textId="77777777" w:rsidR="005033AD" w:rsidRDefault="005033AD" w:rsidP="009E4E9B">
      <w:pPr>
        <w:spacing w:after="0" w:line="240" w:lineRule="auto"/>
      </w:pPr>
      <w:r>
        <w:separator/>
      </w:r>
    </w:p>
  </w:endnote>
  <w:endnote w:type="continuationSeparator" w:id="0">
    <w:p w14:paraId="675C7AE1" w14:textId="77777777" w:rsidR="005033AD" w:rsidRDefault="005033AD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33B8" w14:textId="77777777" w:rsidR="005033AD" w:rsidRDefault="005033AD" w:rsidP="009E4E9B">
      <w:pPr>
        <w:spacing w:after="0" w:line="240" w:lineRule="auto"/>
      </w:pPr>
      <w:r>
        <w:separator/>
      </w:r>
    </w:p>
  </w:footnote>
  <w:footnote w:type="continuationSeparator" w:id="0">
    <w:p w14:paraId="2799D8F9" w14:textId="77777777" w:rsidR="005033AD" w:rsidRDefault="005033AD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B4705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3AD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248F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541E3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09A5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15A2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2FB6-AB80-4F1D-BDC2-4296C391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Karen Araceli Benitez Garay</cp:lastModifiedBy>
  <cp:revision>4</cp:revision>
  <dcterms:created xsi:type="dcterms:W3CDTF">2023-10-17T11:50:00Z</dcterms:created>
  <dcterms:modified xsi:type="dcterms:W3CDTF">2023-12-21T18:03:00Z</dcterms:modified>
</cp:coreProperties>
</file>